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2" w:type="dxa"/>
        <w:shd w:val="clear" w:color="auto" w:fill="FFFFFF"/>
        <w:tblLayout w:type="fixed"/>
        <w:tblLook w:val="04A0" w:firstRow="1" w:lastRow="0" w:firstColumn="1" w:lastColumn="0" w:noHBand="0" w:noVBand="1"/>
      </w:tblPr>
      <w:tblGrid>
        <w:gridCol w:w="1985"/>
        <w:gridCol w:w="5387"/>
        <w:gridCol w:w="1990"/>
      </w:tblGrid>
      <w:tr w:rsidR="003503A1" w:rsidRPr="00494BC6" w14:paraId="5EF092D3" w14:textId="77777777">
        <w:trPr>
          <w:trHeight w:val="1240"/>
        </w:trPr>
        <w:tc>
          <w:tcPr>
            <w:tcW w:w="1985" w:type="dxa"/>
            <w:shd w:val="clear" w:color="auto" w:fill="FFFFFF"/>
          </w:tcPr>
          <w:p w14:paraId="144B25C0" w14:textId="77777777" w:rsidR="003503A1" w:rsidRPr="00494BC6" w:rsidRDefault="0010038E">
            <w:pPr>
              <w:spacing w:after="0" w:line="360" w:lineRule="auto"/>
              <w:jc w:val="center"/>
              <w:rPr>
                <w:rFonts w:cs="Calibri"/>
                <w:b/>
                <w:sz w:val="20"/>
                <w:szCs w:val="20"/>
              </w:rPr>
            </w:pPr>
            <w:bookmarkStart w:id="0" w:name="_Hlk202514674"/>
            <w:bookmarkStart w:id="1" w:name="_Hlk206772565"/>
            <w:r w:rsidRPr="00494BC6">
              <w:rPr>
                <w:rFonts w:cs="Calibri"/>
                <w:b/>
                <w:noProof/>
                <w:sz w:val="20"/>
                <w:szCs w:val="20"/>
                <w:lang w:eastAsia="en-GB"/>
              </w:rPr>
              <w:drawing>
                <wp:inline distT="0" distB="0" distL="0" distR="0" wp14:anchorId="3590B0A1" wp14:editId="0AD4D520">
                  <wp:extent cx="1027430" cy="1000760"/>
                  <wp:effectExtent l="0" t="0" r="1270" b="8890"/>
                  <wp:docPr id="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027668" cy="1000800"/>
                          </a:xfrm>
                          <a:prstGeom prst="rect">
                            <a:avLst/>
                          </a:prstGeom>
                          <a:noFill/>
                          <a:ln>
                            <a:noFill/>
                          </a:ln>
                        </pic:spPr>
                      </pic:pic>
                    </a:graphicData>
                  </a:graphic>
                </wp:inline>
              </w:drawing>
            </w:r>
          </w:p>
        </w:tc>
        <w:tc>
          <w:tcPr>
            <w:tcW w:w="5387" w:type="dxa"/>
            <w:shd w:val="clear" w:color="auto" w:fill="FFFFFF"/>
          </w:tcPr>
          <w:p w14:paraId="21F3EAC1" w14:textId="77777777" w:rsidR="003503A1" w:rsidRPr="00494BC6" w:rsidRDefault="0010038E">
            <w:pPr>
              <w:spacing w:after="0" w:line="240" w:lineRule="auto"/>
              <w:rPr>
                <w:rFonts w:cs="Calibri"/>
                <w:b/>
                <w:i/>
                <w:szCs w:val="20"/>
              </w:rPr>
            </w:pPr>
            <w:r w:rsidRPr="00494BC6">
              <w:rPr>
                <w:rFonts w:cs="Calibri"/>
                <w:b/>
                <w:i/>
                <w:szCs w:val="20"/>
              </w:rPr>
              <w:t>Sahel Journal of Life Sciences FUDMA (SAJOLS)</w:t>
            </w:r>
          </w:p>
          <w:p w14:paraId="2581A3D7" w14:textId="58012F75" w:rsidR="003503A1" w:rsidRPr="00494BC6" w:rsidRDefault="00B86962">
            <w:pPr>
              <w:spacing w:after="0" w:line="240" w:lineRule="auto"/>
              <w:rPr>
                <w:rFonts w:cs="Calibri"/>
                <w:b/>
                <w:szCs w:val="20"/>
              </w:rPr>
            </w:pPr>
            <w:r w:rsidRPr="00494BC6">
              <w:rPr>
                <w:rFonts w:cs="Calibri"/>
                <w:b/>
                <w:szCs w:val="20"/>
              </w:rPr>
              <w:t>September</w:t>
            </w:r>
            <w:r w:rsidR="003E0479" w:rsidRPr="00494BC6">
              <w:rPr>
                <w:rFonts w:cs="Calibri"/>
                <w:b/>
                <w:szCs w:val="20"/>
              </w:rPr>
              <w:t xml:space="preserve"> 202</w:t>
            </w:r>
            <w:r w:rsidR="00665417" w:rsidRPr="00494BC6">
              <w:rPr>
                <w:rFonts w:cs="Calibri"/>
                <w:b/>
                <w:szCs w:val="20"/>
              </w:rPr>
              <w:t>6</w:t>
            </w:r>
            <w:r w:rsidR="003E0479" w:rsidRPr="00494BC6">
              <w:rPr>
                <w:rFonts w:cs="Calibri"/>
                <w:b/>
                <w:szCs w:val="20"/>
              </w:rPr>
              <w:t xml:space="preserve"> Vol. </w:t>
            </w:r>
            <w:r w:rsidR="00665417" w:rsidRPr="00494BC6">
              <w:rPr>
                <w:rFonts w:cs="Calibri"/>
                <w:b/>
                <w:szCs w:val="20"/>
              </w:rPr>
              <w:t>4</w:t>
            </w:r>
            <w:r w:rsidR="003E0479" w:rsidRPr="00494BC6">
              <w:rPr>
                <w:rFonts w:cs="Calibri"/>
                <w:b/>
                <w:szCs w:val="20"/>
              </w:rPr>
              <w:t>(</w:t>
            </w:r>
            <w:r w:rsidRPr="00494BC6">
              <w:rPr>
                <w:rFonts w:cs="Calibri"/>
                <w:b/>
                <w:szCs w:val="20"/>
              </w:rPr>
              <w:t>3</w:t>
            </w:r>
            <w:r w:rsidR="003E0479" w:rsidRPr="00494BC6">
              <w:rPr>
                <w:rFonts w:cs="Calibri"/>
                <w:b/>
                <w:szCs w:val="20"/>
              </w:rPr>
              <w:t>):</w:t>
            </w:r>
            <w:r w:rsidR="003E0479" w:rsidRPr="00494BC6">
              <w:rPr>
                <w:rFonts w:cs="Calibri"/>
                <w:b/>
                <w:sz w:val="20"/>
                <w:szCs w:val="20"/>
              </w:rPr>
              <w:t xml:space="preserve"> </w:t>
            </w:r>
            <w:r w:rsidR="007C7586">
              <w:rPr>
                <w:rFonts w:cs="Calibri"/>
                <w:b/>
              </w:rPr>
              <w:t>305</w:t>
            </w:r>
            <w:r w:rsidR="003E0479" w:rsidRPr="00494BC6">
              <w:rPr>
                <w:rFonts w:cs="Calibri"/>
                <w:b/>
              </w:rPr>
              <w:t>-</w:t>
            </w:r>
            <w:r w:rsidR="007C7586">
              <w:rPr>
                <w:rFonts w:cs="Calibri"/>
                <w:b/>
              </w:rPr>
              <w:t>310</w:t>
            </w:r>
          </w:p>
          <w:p w14:paraId="79772BA5" w14:textId="77777777" w:rsidR="003503A1" w:rsidRPr="00494BC6" w:rsidRDefault="0010038E">
            <w:pPr>
              <w:spacing w:after="0" w:line="240" w:lineRule="auto"/>
              <w:rPr>
                <w:rFonts w:cs="Calibri"/>
                <w:b/>
                <w:szCs w:val="20"/>
              </w:rPr>
            </w:pPr>
            <w:r w:rsidRPr="00494BC6">
              <w:rPr>
                <w:rFonts w:cs="Calibri"/>
                <w:b/>
                <w:szCs w:val="20"/>
              </w:rPr>
              <w:t>ISSN: 3027-0456 (Print)</w:t>
            </w:r>
          </w:p>
          <w:p w14:paraId="6BD25026" w14:textId="77777777" w:rsidR="003503A1" w:rsidRPr="00494BC6" w:rsidRDefault="0010038E">
            <w:pPr>
              <w:spacing w:after="0" w:line="240" w:lineRule="auto"/>
              <w:rPr>
                <w:rFonts w:cs="Calibri"/>
                <w:b/>
                <w:szCs w:val="20"/>
              </w:rPr>
            </w:pPr>
            <w:r w:rsidRPr="00494BC6">
              <w:rPr>
                <w:rFonts w:cs="Calibri"/>
                <w:b/>
                <w:szCs w:val="20"/>
              </w:rPr>
              <w:t>ISSN: 1595-5915 (Online)</w:t>
            </w:r>
          </w:p>
          <w:p w14:paraId="7E59C1B4" w14:textId="74624A4B" w:rsidR="003503A1" w:rsidRPr="00494BC6" w:rsidRDefault="0010038E" w:rsidP="00ED3621">
            <w:pPr>
              <w:spacing w:after="0" w:line="240" w:lineRule="auto"/>
              <w:rPr>
                <w:rFonts w:cs="Calibri"/>
                <w:b/>
                <w:szCs w:val="20"/>
              </w:rPr>
            </w:pPr>
            <w:r w:rsidRPr="00494BC6">
              <w:rPr>
                <w:rFonts w:cs="Calibri"/>
                <w:b/>
                <w:szCs w:val="20"/>
              </w:rPr>
              <w:t xml:space="preserve">DOI: </w:t>
            </w:r>
            <w:hyperlink r:id="rId9" w:history="1">
              <w:r w:rsidR="00ED3621" w:rsidRPr="003D30F7">
                <w:rPr>
                  <w:rStyle w:val="Hyperlink"/>
                  <w:rFonts w:cs="Calibri"/>
                  <w:b/>
                  <w:i/>
                  <w:iCs/>
                  <w:szCs w:val="20"/>
                </w:rPr>
                <w:t>https://doi.org/10.33003/sajols-2026-0403-31</w:t>
              </w:r>
            </w:hyperlink>
          </w:p>
        </w:tc>
        <w:tc>
          <w:tcPr>
            <w:tcW w:w="1990" w:type="dxa"/>
            <w:shd w:val="clear" w:color="auto" w:fill="FFFFFF"/>
          </w:tcPr>
          <w:p w14:paraId="546918FD" w14:textId="77777777" w:rsidR="003503A1" w:rsidRPr="00494BC6" w:rsidRDefault="0010038E">
            <w:pPr>
              <w:spacing w:after="0" w:line="240" w:lineRule="auto"/>
              <w:rPr>
                <w:rFonts w:cs="Calibri"/>
                <w:b/>
                <w:szCs w:val="20"/>
              </w:rPr>
            </w:pPr>
            <w:r w:rsidRPr="00494BC6">
              <w:rPr>
                <w:rFonts w:cs="Calibri"/>
                <w:b/>
                <w:noProof/>
                <w:szCs w:val="20"/>
                <w:lang w:eastAsia="en-GB"/>
              </w:rPr>
              <w:drawing>
                <wp:inline distT="0" distB="0" distL="0" distR="0" wp14:anchorId="2200EECA" wp14:editId="18D57DC6">
                  <wp:extent cx="1133475" cy="1002030"/>
                  <wp:effectExtent l="0" t="0" r="9525" b="7620"/>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33475" cy="1002030"/>
                          </a:xfrm>
                          <a:prstGeom prst="rect">
                            <a:avLst/>
                          </a:prstGeom>
                          <a:noFill/>
                          <a:ln>
                            <a:noFill/>
                          </a:ln>
                        </pic:spPr>
                      </pic:pic>
                    </a:graphicData>
                  </a:graphic>
                </wp:inline>
              </w:drawing>
            </w:r>
          </w:p>
        </w:tc>
      </w:tr>
    </w:tbl>
    <w:p w14:paraId="4E3D9E97" w14:textId="77777777" w:rsidR="003503A1" w:rsidRPr="00494BC6" w:rsidRDefault="0010038E">
      <w:pPr>
        <w:pBdr>
          <w:top w:val="single" w:sz="12" w:space="1" w:color="auto"/>
        </w:pBdr>
        <w:spacing w:line="240" w:lineRule="auto"/>
        <w:rPr>
          <w:rFonts w:cs="Calibri"/>
          <w:b/>
          <w:sz w:val="28"/>
          <w:szCs w:val="28"/>
        </w:rPr>
      </w:pPr>
      <w:r w:rsidRPr="00494BC6">
        <w:rPr>
          <w:rFonts w:cs="Calibri"/>
          <w:b/>
          <w:i/>
          <w:sz w:val="28"/>
          <w:szCs w:val="28"/>
          <w:highlight w:val="lightGray"/>
        </w:rPr>
        <w:t>Research Article</w:t>
      </w:r>
    </w:p>
    <w:p w14:paraId="06FDAE21" w14:textId="07118BB9" w:rsidR="00CE2A36" w:rsidRPr="00CE2A36" w:rsidRDefault="00CE2A36" w:rsidP="00CE2A36">
      <w:pPr>
        <w:pBdr>
          <w:top w:val="single" w:sz="12" w:space="1" w:color="auto"/>
        </w:pBdr>
        <w:spacing w:line="240" w:lineRule="auto"/>
        <w:jc w:val="center"/>
        <w:rPr>
          <w:b/>
          <w:bCs/>
          <w:sz w:val="28"/>
          <w:lang w:val="en-US"/>
        </w:rPr>
      </w:pPr>
      <w:bookmarkStart w:id="2" w:name="_Hlk171545728"/>
      <w:bookmarkStart w:id="3" w:name="_gjdgxs" w:colFirst="0" w:colLast="0"/>
      <w:bookmarkEnd w:id="2"/>
      <w:bookmarkEnd w:id="3"/>
      <w:r w:rsidRPr="00CE2A36">
        <w:rPr>
          <w:b/>
          <w:bCs/>
          <w:sz w:val="28"/>
          <w:lang w:val="en-US"/>
        </w:rPr>
        <w:t xml:space="preserve">Antimicrobial Effect of Mango Leaves Extract against Methicillin-Resistant </w:t>
      </w:r>
      <w:r w:rsidRPr="00CE2A36">
        <w:rPr>
          <w:b/>
          <w:bCs/>
          <w:i/>
          <w:sz w:val="28"/>
          <w:lang w:val="en-US"/>
        </w:rPr>
        <w:t>Staphylococcus aureus</w:t>
      </w:r>
    </w:p>
    <w:p w14:paraId="089E24CE" w14:textId="303874DD" w:rsidR="003503A1" w:rsidRPr="00494BC6" w:rsidRDefault="00CD673F">
      <w:pPr>
        <w:pBdr>
          <w:top w:val="single" w:sz="12" w:space="1" w:color="auto"/>
        </w:pBdr>
        <w:jc w:val="center"/>
        <w:rPr>
          <w:b/>
          <w:bCs/>
        </w:rPr>
      </w:pPr>
      <w:bookmarkStart w:id="4" w:name="_Hlk170085514"/>
      <w:r w:rsidRPr="00494BC6">
        <w:rPr>
          <w:b/>
          <w:bCs/>
        </w:rPr>
        <w:t>*</w:t>
      </w:r>
      <w:proofErr w:type="spellStart"/>
      <w:r w:rsidR="00FE16E1" w:rsidRPr="00FE16E1">
        <w:rPr>
          <w:b/>
          <w:bCs/>
          <w:lang w:val="en-US"/>
        </w:rPr>
        <w:t>Sa’adatu</w:t>
      </w:r>
      <w:proofErr w:type="spellEnd"/>
      <w:r w:rsidR="00FE16E1" w:rsidRPr="00FE16E1">
        <w:rPr>
          <w:b/>
          <w:bCs/>
          <w:lang w:val="en-US"/>
        </w:rPr>
        <w:t xml:space="preserve"> Adamu</w:t>
      </w:r>
      <w:r w:rsidR="00FE16E1" w:rsidRPr="00FE16E1">
        <w:rPr>
          <w:b/>
          <w:bCs/>
          <w:vertAlign w:val="superscript"/>
          <w:lang w:val="en-US"/>
        </w:rPr>
        <w:t>1</w:t>
      </w:r>
      <w:r w:rsidR="00FE16E1" w:rsidRPr="00FE16E1">
        <w:rPr>
          <w:b/>
          <w:bCs/>
          <w:lang w:val="en-US"/>
        </w:rPr>
        <w:t xml:space="preserve">, </w:t>
      </w:r>
      <w:proofErr w:type="spellStart"/>
      <w:r w:rsidR="00FE16E1" w:rsidRPr="00FE16E1">
        <w:rPr>
          <w:b/>
          <w:bCs/>
          <w:lang w:val="en-US"/>
        </w:rPr>
        <w:t>Abdullahi</w:t>
      </w:r>
      <w:proofErr w:type="spellEnd"/>
      <w:r w:rsidR="00FE16E1" w:rsidRPr="00FE16E1">
        <w:rPr>
          <w:b/>
          <w:bCs/>
          <w:lang w:val="en-US"/>
        </w:rPr>
        <w:t xml:space="preserve"> </w:t>
      </w:r>
      <w:proofErr w:type="spellStart"/>
      <w:r w:rsidR="00FE16E1" w:rsidRPr="00FE16E1">
        <w:rPr>
          <w:b/>
          <w:bCs/>
          <w:lang w:val="en-US"/>
        </w:rPr>
        <w:t>Isiaka</w:t>
      </w:r>
      <w:proofErr w:type="spellEnd"/>
      <w:r w:rsidR="00FE16E1" w:rsidRPr="00FE16E1">
        <w:rPr>
          <w:b/>
          <w:bCs/>
          <w:lang w:val="en-US"/>
        </w:rPr>
        <w:t xml:space="preserve"> Hassan</w:t>
      </w:r>
      <w:r w:rsidR="00FE16E1" w:rsidRPr="00FE16E1">
        <w:rPr>
          <w:b/>
          <w:bCs/>
          <w:vertAlign w:val="superscript"/>
          <w:lang w:val="en-US"/>
        </w:rPr>
        <w:t>2</w:t>
      </w:r>
      <w:r w:rsidR="00FE16E1" w:rsidRPr="00FE16E1">
        <w:rPr>
          <w:b/>
          <w:bCs/>
          <w:lang w:val="en-US"/>
        </w:rPr>
        <w:t xml:space="preserve">, </w:t>
      </w:r>
      <w:r w:rsidR="00FE16E1">
        <w:rPr>
          <w:b/>
          <w:bCs/>
          <w:lang w:val="en-US"/>
        </w:rPr>
        <w:t xml:space="preserve">and </w:t>
      </w:r>
      <w:proofErr w:type="spellStart"/>
      <w:r w:rsidR="00FE16E1" w:rsidRPr="00FE16E1">
        <w:rPr>
          <w:b/>
          <w:bCs/>
          <w:lang w:val="en-US"/>
        </w:rPr>
        <w:t>Salisu</w:t>
      </w:r>
      <w:proofErr w:type="spellEnd"/>
      <w:r w:rsidR="00FE16E1" w:rsidRPr="00FE16E1">
        <w:rPr>
          <w:b/>
          <w:bCs/>
          <w:lang w:val="en-US"/>
        </w:rPr>
        <w:t xml:space="preserve"> </w:t>
      </w:r>
      <w:proofErr w:type="spellStart"/>
      <w:r w:rsidR="00FE16E1" w:rsidRPr="00FE16E1">
        <w:rPr>
          <w:b/>
          <w:bCs/>
          <w:lang w:val="en-US"/>
        </w:rPr>
        <w:t>Fadimatu</w:t>
      </w:r>
      <w:proofErr w:type="spellEnd"/>
      <w:r w:rsidR="00FE16E1" w:rsidRPr="00FE16E1">
        <w:rPr>
          <w:b/>
          <w:bCs/>
          <w:lang w:val="en-US"/>
        </w:rPr>
        <w:t xml:space="preserve"> Lawal</w:t>
      </w:r>
      <w:r w:rsidR="00FE16E1" w:rsidRPr="00FE16E1">
        <w:rPr>
          <w:b/>
          <w:bCs/>
          <w:vertAlign w:val="superscript"/>
          <w:lang w:val="en-US"/>
        </w:rPr>
        <w:t>3</w:t>
      </w:r>
    </w:p>
    <w:bookmarkEnd w:id="4"/>
    <w:p w14:paraId="7A5DD9B0" w14:textId="0C22938B" w:rsidR="007474C5" w:rsidRPr="007474C5" w:rsidRDefault="00D96F22" w:rsidP="007474C5">
      <w:pPr>
        <w:spacing w:after="0" w:line="240" w:lineRule="auto"/>
        <w:jc w:val="center"/>
        <w:rPr>
          <w:rFonts w:cs="Calibri"/>
          <w:b/>
          <w:bCs/>
          <w:szCs w:val="28"/>
        </w:rPr>
      </w:pPr>
      <w:r w:rsidRPr="00D96F22">
        <w:rPr>
          <w:rFonts w:cs="Calibri"/>
          <w:b/>
          <w:bCs/>
          <w:szCs w:val="28"/>
          <w:vertAlign w:val="superscript"/>
        </w:rPr>
        <w:t>1</w:t>
      </w:r>
      <w:r w:rsidR="007474C5" w:rsidRPr="007474C5">
        <w:rPr>
          <w:rFonts w:cs="Calibri"/>
          <w:b/>
          <w:bCs/>
          <w:szCs w:val="28"/>
        </w:rPr>
        <w:t>Department</w:t>
      </w:r>
      <w:r w:rsidR="007474C5" w:rsidRPr="007474C5">
        <w:rPr>
          <w:rFonts w:cs="Calibri"/>
          <w:b/>
          <w:bCs/>
          <w:szCs w:val="28"/>
          <w:lang w:val="en-US"/>
        </w:rPr>
        <w:t xml:space="preserve"> of Microbiology</w:t>
      </w:r>
      <w:r w:rsidR="007474C5" w:rsidRPr="007474C5">
        <w:rPr>
          <w:rFonts w:cs="Calibri"/>
          <w:b/>
          <w:bCs/>
          <w:szCs w:val="28"/>
        </w:rPr>
        <w:t>/Faculty</w:t>
      </w:r>
      <w:r w:rsidR="007474C5" w:rsidRPr="007474C5">
        <w:rPr>
          <w:rFonts w:cs="Calibri"/>
          <w:b/>
          <w:bCs/>
          <w:szCs w:val="28"/>
          <w:lang w:val="en-US"/>
        </w:rPr>
        <w:t xml:space="preserve"> Life Science</w:t>
      </w:r>
      <w:r w:rsidR="007474C5" w:rsidRPr="007474C5">
        <w:rPr>
          <w:rFonts w:cs="Calibri"/>
          <w:b/>
          <w:bCs/>
          <w:szCs w:val="28"/>
        </w:rPr>
        <w:t xml:space="preserve">, </w:t>
      </w:r>
      <w:r w:rsidR="007474C5" w:rsidRPr="007474C5">
        <w:rPr>
          <w:rFonts w:cs="Calibri"/>
          <w:b/>
          <w:bCs/>
          <w:szCs w:val="28"/>
          <w:lang w:val="en-US"/>
        </w:rPr>
        <w:t xml:space="preserve">Federal </w:t>
      </w:r>
      <w:r w:rsidR="007474C5" w:rsidRPr="007474C5">
        <w:rPr>
          <w:rFonts w:cs="Calibri"/>
          <w:b/>
          <w:bCs/>
          <w:szCs w:val="28"/>
        </w:rPr>
        <w:t>University</w:t>
      </w:r>
      <w:r w:rsidR="007474C5" w:rsidRPr="007474C5">
        <w:rPr>
          <w:rFonts w:cs="Calibri"/>
          <w:b/>
          <w:bCs/>
          <w:szCs w:val="28"/>
          <w:lang w:val="en-US"/>
        </w:rPr>
        <w:t xml:space="preserve"> </w:t>
      </w:r>
      <w:proofErr w:type="spellStart"/>
      <w:r w:rsidR="007474C5" w:rsidRPr="007474C5">
        <w:rPr>
          <w:rFonts w:cs="Calibri"/>
          <w:b/>
          <w:bCs/>
          <w:szCs w:val="28"/>
          <w:lang w:val="en-US"/>
        </w:rPr>
        <w:t>Dutsin</w:t>
      </w:r>
      <w:proofErr w:type="spellEnd"/>
      <w:r w:rsidR="007474C5" w:rsidRPr="007474C5">
        <w:rPr>
          <w:rFonts w:cs="Calibri"/>
          <w:b/>
          <w:bCs/>
          <w:szCs w:val="28"/>
          <w:lang w:val="en-US"/>
        </w:rPr>
        <w:t>-Ma</w:t>
      </w:r>
      <w:r w:rsidR="007474C5" w:rsidRPr="007474C5">
        <w:rPr>
          <w:rFonts w:cs="Calibri"/>
          <w:b/>
          <w:bCs/>
          <w:szCs w:val="28"/>
        </w:rPr>
        <w:t xml:space="preserve">, </w:t>
      </w:r>
      <w:proofErr w:type="spellStart"/>
      <w:r w:rsidR="007474C5" w:rsidRPr="007474C5">
        <w:rPr>
          <w:rFonts w:cs="Calibri"/>
          <w:b/>
          <w:bCs/>
          <w:szCs w:val="28"/>
          <w:lang w:val="en-US"/>
        </w:rPr>
        <w:t>Katsina</w:t>
      </w:r>
      <w:proofErr w:type="spellEnd"/>
      <w:r w:rsidR="007474C5" w:rsidRPr="007474C5">
        <w:rPr>
          <w:rFonts w:cs="Calibri"/>
          <w:b/>
          <w:bCs/>
          <w:szCs w:val="28"/>
          <w:lang w:val="en-US"/>
        </w:rPr>
        <w:t xml:space="preserve"> State</w:t>
      </w:r>
      <w:r w:rsidR="007474C5" w:rsidRPr="007474C5">
        <w:rPr>
          <w:rFonts w:cs="Calibri"/>
          <w:b/>
          <w:bCs/>
          <w:szCs w:val="28"/>
        </w:rPr>
        <w:t>,</w:t>
      </w:r>
      <w:r w:rsidR="007474C5" w:rsidRPr="007474C5">
        <w:rPr>
          <w:rFonts w:cs="Calibri"/>
          <w:b/>
          <w:bCs/>
          <w:szCs w:val="28"/>
          <w:lang w:val="en-US"/>
        </w:rPr>
        <w:t xml:space="preserve"> Nigeria</w:t>
      </w:r>
    </w:p>
    <w:p w14:paraId="7D752AB9" w14:textId="77777777" w:rsidR="007474C5" w:rsidRPr="007474C5" w:rsidRDefault="007474C5" w:rsidP="007474C5">
      <w:pPr>
        <w:spacing w:after="0" w:line="240" w:lineRule="auto"/>
        <w:jc w:val="center"/>
        <w:rPr>
          <w:rFonts w:cs="Calibri"/>
          <w:b/>
          <w:bCs/>
          <w:i/>
          <w:szCs w:val="28"/>
          <w:lang w:val="en-US"/>
        </w:rPr>
      </w:pPr>
      <w:r w:rsidRPr="007474C5">
        <w:rPr>
          <w:rFonts w:cs="Calibri"/>
          <w:b/>
          <w:bCs/>
          <w:szCs w:val="28"/>
          <w:vertAlign w:val="superscript"/>
        </w:rPr>
        <w:t>2</w:t>
      </w:r>
      <w:r w:rsidRPr="007474C5">
        <w:rPr>
          <w:rFonts w:cs="Calibri"/>
          <w:b/>
          <w:bCs/>
          <w:szCs w:val="28"/>
        </w:rPr>
        <w:t>Department</w:t>
      </w:r>
      <w:r w:rsidRPr="007474C5">
        <w:rPr>
          <w:rFonts w:cs="Calibri"/>
          <w:b/>
          <w:bCs/>
          <w:szCs w:val="28"/>
          <w:lang w:val="en-US"/>
        </w:rPr>
        <w:t xml:space="preserve"> of Microbiology</w:t>
      </w:r>
      <w:r w:rsidRPr="007474C5">
        <w:rPr>
          <w:rFonts w:cs="Calibri"/>
          <w:b/>
          <w:bCs/>
          <w:szCs w:val="28"/>
        </w:rPr>
        <w:t>/Faculty</w:t>
      </w:r>
      <w:r w:rsidRPr="007474C5">
        <w:rPr>
          <w:rFonts w:cs="Calibri"/>
          <w:b/>
          <w:bCs/>
          <w:szCs w:val="28"/>
          <w:lang w:val="en-US"/>
        </w:rPr>
        <w:t xml:space="preserve"> Life Science</w:t>
      </w:r>
      <w:r w:rsidRPr="007474C5">
        <w:rPr>
          <w:rFonts w:cs="Calibri"/>
          <w:b/>
          <w:bCs/>
          <w:szCs w:val="28"/>
        </w:rPr>
        <w:t xml:space="preserve">, </w:t>
      </w:r>
      <w:r w:rsidRPr="007474C5">
        <w:rPr>
          <w:rFonts w:cs="Calibri"/>
          <w:b/>
          <w:bCs/>
          <w:szCs w:val="28"/>
          <w:lang w:val="en-US"/>
        </w:rPr>
        <w:t>Kaduna State University</w:t>
      </w:r>
      <w:r w:rsidRPr="007474C5">
        <w:rPr>
          <w:rFonts w:cs="Calibri"/>
          <w:b/>
          <w:bCs/>
          <w:szCs w:val="28"/>
        </w:rPr>
        <w:t>,</w:t>
      </w:r>
      <w:r w:rsidRPr="007474C5">
        <w:rPr>
          <w:rFonts w:cs="Calibri"/>
          <w:b/>
          <w:bCs/>
          <w:szCs w:val="28"/>
          <w:lang w:val="en-US"/>
        </w:rPr>
        <w:t xml:space="preserve"> Nigeria</w:t>
      </w:r>
    </w:p>
    <w:p w14:paraId="555E02E2" w14:textId="12F4E9BB" w:rsidR="00067497" w:rsidRPr="00494BC6" w:rsidRDefault="007474C5" w:rsidP="007474C5">
      <w:pPr>
        <w:spacing w:after="0" w:line="240" w:lineRule="auto"/>
        <w:jc w:val="center"/>
        <w:rPr>
          <w:rFonts w:cs="Calibri"/>
          <w:b/>
          <w:bCs/>
          <w:szCs w:val="28"/>
        </w:rPr>
      </w:pPr>
      <w:r w:rsidRPr="007474C5">
        <w:rPr>
          <w:rFonts w:cs="Calibri"/>
          <w:b/>
          <w:bCs/>
          <w:szCs w:val="28"/>
          <w:vertAlign w:val="superscript"/>
        </w:rPr>
        <w:t>3</w:t>
      </w:r>
      <w:r w:rsidRPr="007474C5">
        <w:rPr>
          <w:rFonts w:cs="Calibri"/>
          <w:b/>
          <w:bCs/>
          <w:szCs w:val="28"/>
        </w:rPr>
        <w:t xml:space="preserve"> Department</w:t>
      </w:r>
      <w:r w:rsidRPr="007474C5">
        <w:rPr>
          <w:rFonts w:cs="Calibri"/>
          <w:b/>
          <w:bCs/>
          <w:szCs w:val="28"/>
          <w:lang w:val="en-US"/>
        </w:rPr>
        <w:t xml:space="preserve"> of Microbiology</w:t>
      </w:r>
      <w:r w:rsidRPr="007474C5">
        <w:rPr>
          <w:rFonts w:cs="Calibri"/>
          <w:b/>
          <w:bCs/>
          <w:szCs w:val="28"/>
        </w:rPr>
        <w:t>/Faculty</w:t>
      </w:r>
      <w:r w:rsidRPr="007474C5">
        <w:rPr>
          <w:rFonts w:cs="Calibri"/>
          <w:b/>
          <w:bCs/>
          <w:szCs w:val="28"/>
          <w:lang w:val="en-US"/>
        </w:rPr>
        <w:t xml:space="preserve"> Life Science</w:t>
      </w:r>
      <w:r w:rsidRPr="007474C5">
        <w:rPr>
          <w:rFonts w:cs="Calibri"/>
          <w:b/>
          <w:bCs/>
          <w:szCs w:val="28"/>
        </w:rPr>
        <w:t xml:space="preserve">, </w:t>
      </w:r>
      <w:r w:rsidRPr="007474C5">
        <w:rPr>
          <w:rFonts w:cs="Calibri"/>
          <w:b/>
          <w:bCs/>
          <w:szCs w:val="28"/>
          <w:lang w:val="en-US"/>
        </w:rPr>
        <w:t>Kaduna State University</w:t>
      </w:r>
      <w:r w:rsidRPr="007474C5">
        <w:rPr>
          <w:rFonts w:cs="Calibri"/>
          <w:b/>
          <w:bCs/>
          <w:szCs w:val="28"/>
        </w:rPr>
        <w:t>,</w:t>
      </w:r>
      <w:r w:rsidRPr="007474C5">
        <w:rPr>
          <w:rFonts w:cs="Calibri"/>
          <w:b/>
          <w:bCs/>
          <w:szCs w:val="28"/>
          <w:lang w:val="en-US"/>
        </w:rPr>
        <w:t xml:space="preserve"> Nigeria</w:t>
      </w:r>
    </w:p>
    <w:p w14:paraId="3E7FD501" w14:textId="2514B0E6" w:rsidR="00AF46C7" w:rsidRPr="00494BC6" w:rsidRDefault="0010038E">
      <w:pPr>
        <w:ind w:left="-142"/>
        <w:jc w:val="center"/>
      </w:pPr>
      <w:r w:rsidRPr="00494BC6">
        <w:rPr>
          <w:rFonts w:cs="Calibri"/>
          <w:b/>
          <w:bCs/>
          <w:i/>
          <w:iCs/>
          <w:szCs w:val="28"/>
        </w:rPr>
        <w:t>*Corresponding Author’s email</w:t>
      </w:r>
      <w:r w:rsidRPr="00494BC6">
        <w:rPr>
          <w:rFonts w:cs="Calibri"/>
          <w:b/>
          <w:bCs/>
          <w:iCs/>
          <w:szCs w:val="28"/>
        </w:rPr>
        <w:t>:</w:t>
      </w:r>
      <w:r w:rsidRPr="00494BC6">
        <w:rPr>
          <w:rFonts w:cs="SimSun"/>
        </w:rPr>
        <w:t xml:space="preserve"> </w:t>
      </w:r>
      <w:hyperlink r:id="rId11" w:history="1">
        <w:r w:rsidR="00F36024" w:rsidRPr="00E30743">
          <w:rPr>
            <w:rStyle w:val="Hyperlink"/>
            <w:b/>
            <w:lang w:val="en-US"/>
          </w:rPr>
          <w:t>adamusaadatu227@gmail.com</w:t>
        </w:r>
      </w:hyperlink>
    </w:p>
    <w:p w14:paraId="4FC2CBD2" w14:textId="77777777" w:rsidR="003503A1" w:rsidRPr="00494BC6" w:rsidRDefault="0010038E">
      <w:pPr>
        <w:pBdr>
          <w:top w:val="single" w:sz="8" w:space="1" w:color="auto"/>
          <w:bottom w:val="single" w:sz="8" w:space="1" w:color="auto"/>
        </w:pBdr>
        <w:spacing w:after="0" w:line="240" w:lineRule="auto"/>
        <w:jc w:val="both"/>
        <w:rPr>
          <w:rFonts w:cs="Calibri"/>
          <w:sz w:val="20"/>
          <w:szCs w:val="20"/>
        </w:rPr>
      </w:pPr>
      <w:r w:rsidRPr="00494BC6">
        <w:rPr>
          <w:rFonts w:cs="Calibri"/>
          <w:b/>
          <w:sz w:val="20"/>
          <w:szCs w:val="20"/>
        </w:rPr>
        <w:t>ABSTRACT</w:t>
      </w:r>
    </w:p>
    <w:p w14:paraId="70FA1B74" w14:textId="0A582AA9" w:rsidR="00B2543D" w:rsidRPr="00494BC6" w:rsidRDefault="00CF0E75">
      <w:pPr>
        <w:pBdr>
          <w:top w:val="single" w:sz="8" w:space="1" w:color="auto"/>
          <w:bottom w:val="single" w:sz="8" w:space="1" w:color="auto"/>
        </w:pBdr>
        <w:spacing w:after="0" w:line="240" w:lineRule="auto"/>
        <w:jc w:val="both"/>
        <w:rPr>
          <w:rFonts w:cs="Calibri"/>
          <w:bCs/>
          <w:iCs/>
          <w:sz w:val="20"/>
          <w:szCs w:val="20"/>
        </w:rPr>
      </w:pPr>
      <w:r w:rsidRPr="00CF0E75">
        <w:rPr>
          <w:rFonts w:cs="Calibri"/>
          <w:bCs/>
          <w:iCs/>
          <w:sz w:val="20"/>
          <w:szCs w:val="20"/>
          <w:lang w:val="en-US"/>
        </w:rPr>
        <w:t>Mango (</w:t>
      </w:r>
      <w:proofErr w:type="spellStart"/>
      <w:r w:rsidRPr="00CF0E75">
        <w:rPr>
          <w:rFonts w:cs="Calibri"/>
          <w:bCs/>
          <w:i/>
          <w:iCs/>
          <w:sz w:val="20"/>
          <w:szCs w:val="20"/>
          <w:lang w:val="en-US"/>
        </w:rPr>
        <w:t>Mangifera</w:t>
      </w:r>
      <w:proofErr w:type="spellEnd"/>
      <w:r w:rsidRPr="00CF0E75">
        <w:rPr>
          <w:rFonts w:cs="Calibri"/>
          <w:bCs/>
          <w:i/>
          <w:iCs/>
          <w:sz w:val="20"/>
          <w:szCs w:val="20"/>
          <w:lang w:val="en-US"/>
        </w:rPr>
        <w:t xml:space="preserve"> indica</w:t>
      </w:r>
      <w:r w:rsidRPr="00CF0E75">
        <w:rPr>
          <w:rFonts w:cs="Calibri"/>
          <w:bCs/>
          <w:iCs/>
          <w:sz w:val="20"/>
          <w:szCs w:val="20"/>
          <w:lang w:val="en-US"/>
        </w:rPr>
        <w:t xml:space="preserve">) plants are rich in a wide variety of secondary metabolites, including tannins, </w:t>
      </w:r>
      <w:proofErr w:type="spellStart"/>
      <w:r w:rsidRPr="00CF0E75">
        <w:rPr>
          <w:rFonts w:cs="Calibri"/>
          <w:bCs/>
          <w:iCs/>
          <w:sz w:val="20"/>
          <w:szCs w:val="20"/>
          <w:lang w:val="en-US"/>
        </w:rPr>
        <w:t>terpenoids</w:t>
      </w:r>
      <w:proofErr w:type="spellEnd"/>
      <w:r w:rsidRPr="00CF0E75">
        <w:rPr>
          <w:rFonts w:cs="Calibri"/>
          <w:bCs/>
          <w:iCs/>
          <w:sz w:val="20"/>
          <w:szCs w:val="20"/>
          <w:lang w:val="en-US"/>
        </w:rPr>
        <w:t xml:space="preserve">, alkaloids, and flavonoids, which have been reported to possess antimicrobial properties </w:t>
      </w:r>
      <w:r w:rsidRPr="00CF0E75">
        <w:rPr>
          <w:rFonts w:cs="Calibri"/>
          <w:bCs/>
          <w:i/>
          <w:iCs/>
          <w:sz w:val="20"/>
          <w:szCs w:val="20"/>
          <w:lang w:val="en-US"/>
        </w:rPr>
        <w:t>in vitro</w:t>
      </w:r>
      <w:r w:rsidRPr="00CF0E75">
        <w:rPr>
          <w:rFonts w:cs="Calibri"/>
          <w:bCs/>
          <w:iCs/>
          <w:sz w:val="20"/>
          <w:szCs w:val="20"/>
          <w:lang w:val="en-US"/>
        </w:rPr>
        <w:t xml:space="preserve">. This study assessed the antimicrobial potential of aqueous and ethanolic leaf extract against </w:t>
      </w:r>
      <w:r w:rsidRPr="00CF0E75">
        <w:rPr>
          <w:rFonts w:cs="Calibri"/>
          <w:bCs/>
          <w:i/>
          <w:iCs/>
          <w:sz w:val="20"/>
          <w:szCs w:val="20"/>
          <w:lang w:val="en-US"/>
        </w:rPr>
        <w:t>Staphylococcus aureus</w:t>
      </w:r>
      <w:r w:rsidRPr="00CF0E75">
        <w:rPr>
          <w:rFonts w:cs="Calibri"/>
          <w:bCs/>
          <w:iCs/>
          <w:sz w:val="20"/>
          <w:szCs w:val="20"/>
          <w:lang w:val="en-US"/>
        </w:rPr>
        <w:t xml:space="preserve"> using both ethanolic and aqueous solvents. The leaves were collected, air-dried, and subjected to solvent extraction, followed by qualitative phytochemical screening. Antibacterial activity was evaluated using the agar well diffusion method; Minimum Inhibitory Concentration (MIC) and Minimum Bactericidal Concentration (MBC) were determined through serial dilution and sub-culturing techniques. The Phytochemical screening revealed tannins, </w:t>
      </w:r>
      <w:proofErr w:type="spellStart"/>
      <w:r w:rsidRPr="00CF0E75">
        <w:rPr>
          <w:rFonts w:cs="Calibri"/>
          <w:bCs/>
          <w:iCs/>
          <w:sz w:val="20"/>
          <w:szCs w:val="20"/>
          <w:lang w:val="en-US"/>
        </w:rPr>
        <w:t>saponins</w:t>
      </w:r>
      <w:proofErr w:type="spellEnd"/>
      <w:r w:rsidRPr="00CF0E75">
        <w:rPr>
          <w:rFonts w:cs="Calibri"/>
          <w:bCs/>
          <w:iCs/>
          <w:sz w:val="20"/>
          <w:szCs w:val="20"/>
          <w:lang w:val="en-US"/>
        </w:rPr>
        <w:t xml:space="preserve">, phenols, alkaloids, and </w:t>
      </w:r>
      <w:proofErr w:type="spellStart"/>
      <w:r w:rsidRPr="00CF0E75">
        <w:rPr>
          <w:rFonts w:cs="Calibri"/>
          <w:bCs/>
          <w:iCs/>
          <w:sz w:val="20"/>
          <w:szCs w:val="20"/>
          <w:lang w:val="en-US"/>
        </w:rPr>
        <w:t>quinones</w:t>
      </w:r>
      <w:proofErr w:type="spellEnd"/>
      <w:r w:rsidRPr="00CF0E75">
        <w:rPr>
          <w:rFonts w:cs="Calibri"/>
          <w:bCs/>
          <w:iCs/>
          <w:sz w:val="20"/>
          <w:szCs w:val="20"/>
          <w:lang w:val="en-US"/>
        </w:rPr>
        <w:t xml:space="preserve">, with variations between the ethanolic and aqueous extracts. Both extracts exhibited dose-dependent antibacterial activity, with the ethanolic extract producing larger zones of inhibition. The MIC and MBC results showed that both extracts inhibited bacterial growth at 50 mg/mL and completely killed </w:t>
      </w:r>
      <w:r w:rsidRPr="00CF0E75">
        <w:rPr>
          <w:rFonts w:cs="Calibri"/>
          <w:bCs/>
          <w:i/>
          <w:iCs/>
          <w:sz w:val="20"/>
          <w:szCs w:val="20"/>
          <w:lang w:val="en-US"/>
        </w:rPr>
        <w:t>S. aureus</w:t>
      </w:r>
      <w:r w:rsidRPr="00CF0E75">
        <w:rPr>
          <w:rFonts w:cs="Calibri"/>
          <w:bCs/>
          <w:iCs/>
          <w:sz w:val="20"/>
          <w:szCs w:val="20"/>
          <w:lang w:val="en-US"/>
        </w:rPr>
        <w:t xml:space="preserve"> at 100 mg/</w:t>
      </w:r>
      <w:proofErr w:type="spellStart"/>
      <w:r w:rsidRPr="00CF0E75">
        <w:rPr>
          <w:rFonts w:cs="Calibri"/>
          <w:bCs/>
          <w:iCs/>
          <w:sz w:val="20"/>
          <w:szCs w:val="20"/>
          <w:lang w:val="en-US"/>
        </w:rPr>
        <w:t>mL.</w:t>
      </w:r>
      <w:proofErr w:type="spellEnd"/>
      <w:r w:rsidRPr="00CF0E75">
        <w:rPr>
          <w:rFonts w:cs="Calibri"/>
          <w:bCs/>
          <w:iCs/>
          <w:sz w:val="20"/>
          <w:szCs w:val="20"/>
          <w:lang w:val="en-US"/>
        </w:rPr>
        <w:t xml:space="preserve"> These findings demonstrate that </w:t>
      </w:r>
      <w:r w:rsidRPr="00CF0E75">
        <w:rPr>
          <w:rFonts w:cs="Calibri"/>
          <w:bCs/>
          <w:i/>
          <w:iCs/>
          <w:sz w:val="20"/>
          <w:szCs w:val="20"/>
          <w:lang w:val="en-US"/>
        </w:rPr>
        <w:t>M. indica</w:t>
      </w:r>
      <w:r w:rsidRPr="00CF0E75">
        <w:rPr>
          <w:rFonts w:cs="Calibri"/>
          <w:bCs/>
          <w:iCs/>
          <w:sz w:val="20"/>
          <w:szCs w:val="20"/>
          <w:lang w:val="en-US"/>
        </w:rPr>
        <w:t xml:space="preserve"> leaves have significant bacteriostatic and bactericidal effects, supporting their potential as natural antimicrobial agents for managing </w:t>
      </w:r>
      <w:r w:rsidRPr="00CF0E75">
        <w:rPr>
          <w:rFonts w:cs="Calibri"/>
          <w:bCs/>
          <w:i/>
          <w:iCs/>
          <w:sz w:val="20"/>
          <w:szCs w:val="20"/>
          <w:lang w:val="en-US"/>
        </w:rPr>
        <w:t>S. aureus</w:t>
      </w:r>
      <w:r w:rsidRPr="00CF0E75">
        <w:rPr>
          <w:rFonts w:cs="Calibri"/>
          <w:bCs/>
          <w:iCs/>
          <w:sz w:val="20"/>
          <w:szCs w:val="20"/>
          <w:lang w:val="en-US"/>
        </w:rPr>
        <w:t xml:space="preserve"> infections</w:t>
      </w:r>
      <w:r w:rsidR="00C65010" w:rsidRPr="002D1F14">
        <w:rPr>
          <w:rFonts w:cs="Calibri"/>
          <w:bCs/>
          <w:iCs/>
          <w:sz w:val="20"/>
          <w:szCs w:val="20"/>
        </w:rPr>
        <w:t>.</w:t>
      </w:r>
    </w:p>
    <w:p w14:paraId="71B80136" w14:textId="571072FA" w:rsidR="003503A1" w:rsidRPr="00494BC6" w:rsidRDefault="0010038E" w:rsidP="005427CF">
      <w:pPr>
        <w:pBdr>
          <w:top w:val="single" w:sz="8" w:space="1" w:color="auto"/>
          <w:bottom w:val="single" w:sz="8" w:space="1" w:color="auto"/>
        </w:pBdr>
        <w:spacing w:before="120" w:after="0" w:line="240" w:lineRule="auto"/>
        <w:jc w:val="both"/>
        <w:rPr>
          <w:rFonts w:cs="Calibri"/>
          <w:iCs/>
          <w:sz w:val="16"/>
          <w:szCs w:val="20"/>
        </w:rPr>
      </w:pPr>
      <w:r w:rsidRPr="009E7FC1">
        <w:rPr>
          <w:rFonts w:cs="Calibri"/>
          <w:b/>
          <w:sz w:val="20"/>
          <w:szCs w:val="20"/>
        </w:rPr>
        <w:t>Keywords:</w:t>
      </w:r>
      <w:r w:rsidRPr="009E7FC1">
        <w:rPr>
          <w:rFonts w:eastAsia="Times New Roman"/>
          <w:sz w:val="24"/>
          <w:szCs w:val="24"/>
        </w:rPr>
        <w:t xml:space="preserve"> </w:t>
      </w:r>
      <w:r w:rsidR="006B6EDD" w:rsidRPr="006B6EDD">
        <w:rPr>
          <w:rFonts w:eastAsia="Times New Roman"/>
          <w:iCs/>
          <w:sz w:val="20"/>
          <w:szCs w:val="24"/>
          <w:lang w:val="en-US"/>
        </w:rPr>
        <w:t>Antibacterial activity</w:t>
      </w:r>
      <w:r w:rsidR="006B6EDD">
        <w:rPr>
          <w:rFonts w:eastAsia="Times New Roman"/>
          <w:iCs/>
          <w:sz w:val="20"/>
          <w:szCs w:val="24"/>
          <w:lang w:val="en-US"/>
        </w:rPr>
        <w:t>;</w:t>
      </w:r>
      <w:r w:rsidR="006B6EDD" w:rsidRPr="006B6EDD">
        <w:rPr>
          <w:rFonts w:eastAsia="Times New Roman"/>
          <w:iCs/>
          <w:sz w:val="20"/>
          <w:szCs w:val="24"/>
          <w:lang w:val="en-US"/>
        </w:rPr>
        <w:t xml:space="preserve"> Methicillin</w:t>
      </w:r>
      <w:r w:rsidR="006B6EDD">
        <w:rPr>
          <w:rFonts w:eastAsia="Times New Roman"/>
          <w:iCs/>
          <w:sz w:val="20"/>
          <w:szCs w:val="24"/>
          <w:lang w:val="en-US"/>
        </w:rPr>
        <w:t>;</w:t>
      </w:r>
      <w:r w:rsidR="006B6EDD" w:rsidRPr="006B6EDD">
        <w:rPr>
          <w:rFonts w:eastAsia="Times New Roman"/>
          <w:iCs/>
          <w:sz w:val="20"/>
          <w:szCs w:val="24"/>
          <w:lang w:val="en-US"/>
        </w:rPr>
        <w:t xml:space="preserve"> </w:t>
      </w:r>
      <w:r w:rsidR="006B6EDD" w:rsidRPr="006B6EDD">
        <w:rPr>
          <w:rFonts w:eastAsia="Times New Roman"/>
          <w:i/>
          <w:iCs/>
          <w:sz w:val="20"/>
          <w:szCs w:val="24"/>
          <w:lang w:val="en-US"/>
        </w:rPr>
        <w:t>M.</w:t>
      </w:r>
      <w:r w:rsidR="006B6EDD">
        <w:rPr>
          <w:rFonts w:eastAsia="Times New Roman"/>
          <w:i/>
          <w:iCs/>
          <w:sz w:val="20"/>
          <w:szCs w:val="24"/>
          <w:lang w:val="en-US"/>
        </w:rPr>
        <w:t xml:space="preserve"> </w:t>
      </w:r>
      <w:r w:rsidR="006B6EDD" w:rsidRPr="006B6EDD">
        <w:rPr>
          <w:rFonts w:eastAsia="Times New Roman"/>
          <w:i/>
          <w:iCs/>
          <w:sz w:val="20"/>
          <w:szCs w:val="24"/>
          <w:lang w:val="en-US"/>
        </w:rPr>
        <w:t>indica</w:t>
      </w:r>
      <w:r w:rsidR="006B6EDD">
        <w:rPr>
          <w:rFonts w:eastAsia="Times New Roman"/>
          <w:i/>
          <w:iCs/>
          <w:sz w:val="20"/>
          <w:szCs w:val="24"/>
          <w:lang w:val="en-US"/>
        </w:rPr>
        <w:t>;</w:t>
      </w:r>
      <w:r w:rsidR="006B6EDD" w:rsidRPr="006B6EDD">
        <w:rPr>
          <w:rFonts w:eastAsia="Times New Roman"/>
          <w:i/>
          <w:iCs/>
          <w:sz w:val="20"/>
          <w:szCs w:val="24"/>
          <w:lang w:val="en-US"/>
        </w:rPr>
        <w:t xml:space="preserve"> </w:t>
      </w:r>
      <w:r w:rsidR="006B6EDD">
        <w:rPr>
          <w:rFonts w:eastAsia="Times New Roman"/>
          <w:iCs/>
          <w:sz w:val="20"/>
          <w:szCs w:val="24"/>
          <w:lang w:val="en-US"/>
        </w:rPr>
        <w:t>Phytochemicals;</w:t>
      </w:r>
      <w:r w:rsidR="006B6EDD" w:rsidRPr="006B6EDD">
        <w:rPr>
          <w:rFonts w:eastAsia="Times New Roman"/>
          <w:iCs/>
          <w:sz w:val="20"/>
          <w:szCs w:val="24"/>
          <w:lang w:val="en-US"/>
        </w:rPr>
        <w:t xml:space="preserve"> Resistant</w:t>
      </w:r>
      <w:r w:rsidR="006B6EDD">
        <w:rPr>
          <w:rFonts w:eastAsia="Times New Roman"/>
          <w:iCs/>
          <w:sz w:val="20"/>
          <w:szCs w:val="24"/>
          <w:lang w:val="en-US"/>
        </w:rPr>
        <w:t xml:space="preserve">; </w:t>
      </w:r>
      <w:r w:rsidR="006B6EDD" w:rsidRPr="006B6EDD">
        <w:rPr>
          <w:rFonts w:eastAsia="Times New Roman"/>
          <w:i/>
          <w:iCs/>
          <w:sz w:val="20"/>
          <w:szCs w:val="24"/>
          <w:lang w:val="en-US"/>
        </w:rPr>
        <w:t>S.</w:t>
      </w:r>
      <w:r w:rsidR="006B6EDD">
        <w:rPr>
          <w:rFonts w:eastAsia="Times New Roman"/>
          <w:i/>
          <w:iCs/>
          <w:sz w:val="20"/>
          <w:szCs w:val="24"/>
          <w:lang w:val="en-US"/>
        </w:rPr>
        <w:t xml:space="preserve"> </w:t>
      </w:r>
      <w:r w:rsidR="006B6EDD" w:rsidRPr="006B6EDD">
        <w:rPr>
          <w:rFonts w:eastAsia="Times New Roman"/>
          <w:i/>
          <w:iCs/>
          <w:sz w:val="20"/>
          <w:szCs w:val="24"/>
          <w:lang w:val="en-US"/>
        </w:rPr>
        <w:t>aureus</w:t>
      </w:r>
    </w:p>
    <w:p w14:paraId="3B136AEE" w14:textId="2A187F56" w:rsidR="003503A1" w:rsidRPr="00494BC6" w:rsidRDefault="0010038E">
      <w:pPr>
        <w:pBdr>
          <w:bottom w:val="single" w:sz="8" w:space="1" w:color="auto"/>
        </w:pBdr>
        <w:spacing w:line="240" w:lineRule="auto"/>
        <w:jc w:val="both"/>
        <w:rPr>
          <w:rFonts w:cs="Calibri"/>
          <w:bCs/>
          <w:i/>
          <w:iCs/>
          <w:sz w:val="20"/>
          <w:szCs w:val="20"/>
        </w:rPr>
        <w:sectPr w:rsidR="003503A1" w:rsidRPr="00494BC6" w:rsidSect="008F5805">
          <w:headerReference w:type="default" r:id="rId12"/>
          <w:footerReference w:type="default" r:id="rId13"/>
          <w:headerReference w:type="first" r:id="rId14"/>
          <w:type w:val="continuous"/>
          <w:pgSz w:w="12240" w:h="15840"/>
          <w:pgMar w:top="1276" w:right="1440" w:bottom="1440" w:left="1440" w:header="720" w:footer="720" w:gutter="0"/>
          <w:pgNumType w:start="305"/>
          <w:cols w:space="720"/>
          <w:docGrid w:linePitch="360"/>
        </w:sectPr>
      </w:pPr>
      <w:r w:rsidRPr="00494BC6">
        <w:rPr>
          <w:rFonts w:cs="Calibri"/>
          <w:b/>
          <w:sz w:val="20"/>
          <w:szCs w:val="20"/>
        </w:rPr>
        <w:t>Citation:</w:t>
      </w:r>
      <w:r w:rsidRPr="00494BC6">
        <w:rPr>
          <w:rFonts w:cs="Calibri"/>
          <w:iCs/>
          <w:sz w:val="20"/>
          <w:szCs w:val="20"/>
        </w:rPr>
        <w:t xml:space="preserve"> </w:t>
      </w:r>
      <w:proofErr w:type="spellStart"/>
      <w:r w:rsidR="00BD550D" w:rsidRPr="00BD550D">
        <w:rPr>
          <w:rFonts w:cs="Calibri"/>
          <w:bCs/>
          <w:iCs/>
          <w:sz w:val="20"/>
          <w:szCs w:val="20"/>
          <w:lang w:val="en-US"/>
        </w:rPr>
        <w:t>Adamu</w:t>
      </w:r>
      <w:proofErr w:type="spellEnd"/>
      <w:r w:rsidR="00BD550D" w:rsidRPr="00BD550D">
        <w:rPr>
          <w:rFonts w:cs="Calibri"/>
          <w:bCs/>
          <w:iCs/>
          <w:sz w:val="20"/>
          <w:szCs w:val="20"/>
          <w:lang w:val="en-US"/>
        </w:rPr>
        <w:t>, S</w:t>
      </w:r>
      <w:r w:rsidR="00BD550D">
        <w:rPr>
          <w:rFonts w:cs="Calibri"/>
          <w:bCs/>
          <w:iCs/>
          <w:sz w:val="20"/>
          <w:szCs w:val="20"/>
          <w:lang w:val="en-US"/>
        </w:rPr>
        <w:t xml:space="preserve">., </w:t>
      </w:r>
      <w:r w:rsidR="00BD550D" w:rsidRPr="00BD550D">
        <w:rPr>
          <w:rFonts w:cs="Calibri"/>
          <w:bCs/>
          <w:iCs/>
          <w:sz w:val="20"/>
          <w:szCs w:val="20"/>
          <w:lang w:val="en-US"/>
        </w:rPr>
        <w:t>Hassan, A</w:t>
      </w:r>
      <w:r w:rsidR="00BD550D">
        <w:rPr>
          <w:rFonts w:cs="Calibri"/>
          <w:bCs/>
          <w:iCs/>
          <w:sz w:val="20"/>
          <w:szCs w:val="20"/>
          <w:lang w:val="en-US"/>
        </w:rPr>
        <w:t>.</w:t>
      </w:r>
      <w:r w:rsidR="00BD550D" w:rsidRPr="00BD550D">
        <w:rPr>
          <w:rFonts w:cs="Calibri"/>
          <w:bCs/>
          <w:iCs/>
          <w:sz w:val="20"/>
          <w:szCs w:val="20"/>
          <w:lang w:val="en-US"/>
        </w:rPr>
        <w:t>I</w:t>
      </w:r>
      <w:r w:rsidR="00BD550D">
        <w:rPr>
          <w:rFonts w:cs="Calibri"/>
          <w:bCs/>
          <w:iCs/>
          <w:sz w:val="20"/>
          <w:szCs w:val="20"/>
          <w:lang w:val="en-US"/>
        </w:rPr>
        <w:t xml:space="preserve">., &amp; </w:t>
      </w:r>
      <w:proofErr w:type="spellStart"/>
      <w:r w:rsidR="00BD550D" w:rsidRPr="00BD550D">
        <w:rPr>
          <w:rFonts w:cs="Calibri"/>
          <w:bCs/>
          <w:iCs/>
          <w:sz w:val="20"/>
          <w:szCs w:val="20"/>
          <w:lang w:val="en-US"/>
        </w:rPr>
        <w:t>Lawal</w:t>
      </w:r>
      <w:proofErr w:type="spellEnd"/>
      <w:r w:rsidR="00BD550D">
        <w:rPr>
          <w:rFonts w:cs="Calibri"/>
          <w:bCs/>
          <w:iCs/>
          <w:sz w:val="20"/>
          <w:szCs w:val="20"/>
          <w:lang w:val="en-US"/>
        </w:rPr>
        <w:t xml:space="preserve">, </w:t>
      </w:r>
      <w:r w:rsidR="00BD550D" w:rsidRPr="00BD550D">
        <w:rPr>
          <w:rFonts w:cs="Calibri"/>
          <w:bCs/>
          <w:iCs/>
          <w:sz w:val="20"/>
          <w:szCs w:val="20"/>
          <w:lang w:val="en-US"/>
        </w:rPr>
        <w:t>S</w:t>
      </w:r>
      <w:r w:rsidR="00BD550D">
        <w:rPr>
          <w:rFonts w:cs="Calibri"/>
          <w:bCs/>
          <w:iCs/>
          <w:sz w:val="20"/>
          <w:szCs w:val="20"/>
          <w:lang w:val="en-US"/>
        </w:rPr>
        <w:t>.</w:t>
      </w:r>
      <w:r w:rsidR="00BD550D" w:rsidRPr="00BD550D">
        <w:rPr>
          <w:rFonts w:cs="Calibri"/>
          <w:bCs/>
          <w:iCs/>
          <w:sz w:val="20"/>
          <w:szCs w:val="20"/>
          <w:lang w:val="en-US"/>
        </w:rPr>
        <w:t>F</w:t>
      </w:r>
      <w:r w:rsidR="00BD550D">
        <w:rPr>
          <w:rFonts w:cs="Calibri"/>
          <w:bCs/>
          <w:iCs/>
          <w:sz w:val="20"/>
          <w:szCs w:val="20"/>
          <w:lang w:val="en-US"/>
        </w:rPr>
        <w:t>.</w:t>
      </w:r>
      <w:r w:rsidRPr="00494BC6">
        <w:rPr>
          <w:rFonts w:cs="Calibri"/>
          <w:iCs/>
          <w:sz w:val="20"/>
          <w:szCs w:val="20"/>
        </w:rPr>
        <w:t xml:space="preserve"> (202</w:t>
      </w:r>
      <w:r w:rsidR="00C6503B" w:rsidRPr="00494BC6">
        <w:rPr>
          <w:rFonts w:cs="Calibri"/>
          <w:iCs/>
          <w:sz w:val="20"/>
          <w:szCs w:val="20"/>
        </w:rPr>
        <w:t>6</w:t>
      </w:r>
      <w:r w:rsidRPr="00494BC6">
        <w:rPr>
          <w:rFonts w:cs="Calibri"/>
          <w:iCs/>
          <w:sz w:val="20"/>
          <w:szCs w:val="20"/>
        </w:rPr>
        <w:t xml:space="preserve">). </w:t>
      </w:r>
      <w:r w:rsidR="005A7E94" w:rsidRPr="005A7E94">
        <w:rPr>
          <w:rFonts w:cs="Calibri"/>
          <w:bCs/>
          <w:iCs/>
          <w:sz w:val="20"/>
          <w:szCs w:val="20"/>
          <w:lang w:val="en-US"/>
        </w:rPr>
        <w:t xml:space="preserve">Antimicrobial Effect of Mango Leaves Extract against Methicillin-Resistant </w:t>
      </w:r>
      <w:r w:rsidR="005A7E94" w:rsidRPr="005A7E94">
        <w:rPr>
          <w:rFonts w:cs="Calibri"/>
          <w:bCs/>
          <w:i/>
          <w:iCs/>
          <w:sz w:val="20"/>
          <w:szCs w:val="20"/>
          <w:lang w:val="en-US"/>
        </w:rPr>
        <w:t>Staphylococcus aureus</w:t>
      </w:r>
      <w:r w:rsidRPr="00494BC6">
        <w:rPr>
          <w:rFonts w:cs="Calibri"/>
          <w:bCs/>
          <w:iCs/>
          <w:sz w:val="20"/>
          <w:szCs w:val="20"/>
        </w:rPr>
        <w:t xml:space="preserve">. </w:t>
      </w:r>
      <w:r w:rsidRPr="00494BC6">
        <w:rPr>
          <w:rFonts w:cs="Calibri"/>
          <w:bCs/>
          <w:i/>
          <w:iCs/>
          <w:sz w:val="20"/>
          <w:szCs w:val="20"/>
        </w:rPr>
        <w:t>Sahel Journal of Life Sciences FUDMA</w:t>
      </w:r>
      <w:r w:rsidRPr="00494BC6">
        <w:rPr>
          <w:rFonts w:cs="Calibri"/>
          <w:bCs/>
          <w:iCs/>
          <w:sz w:val="20"/>
          <w:szCs w:val="20"/>
        </w:rPr>
        <w:t xml:space="preserve">, </w:t>
      </w:r>
      <w:r w:rsidR="00DD2864" w:rsidRPr="00494BC6">
        <w:rPr>
          <w:rFonts w:cs="Calibri"/>
          <w:bCs/>
          <w:iCs/>
          <w:sz w:val="20"/>
          <w:szCs w:val="20"/>
        </w:rPr>
        <w:t>4</w:t>
      </w:r>
      <w:r w:rsidRPr="00494BC6">
        <w:rPr>
          <w:rFonts w:cs="Calibri"/>
          <w:bCs/>
          <w:iCs/>
          <w:sz w:val="20"/>
          <w:szCs w:val="20"/>
        </w:rPr>
        <w:t>(</w:t>
      </w:r>
      <w:r w:rsidR="00231029" w:rsidRPr="00494BC6">
        <w:rPr>
          <w:rFonts w:cs="Calibri"/>
          <w:bCs/>
          <w:iCs/>
          <w:sz w:val="20"/>
          <w:szCs w:val="20"/>
        </w:rPr>
        <w:t>3</w:t>
      </w:r>
      <w:r w:rsidRPr="00494BC6">
        <w:rPr>
          <w:rFonts w:cs="Calibri"/>
          <w:bCs/>
          <w:iCs/>
          <w:sz w:val="20"/>
          <w:szCs w:val="20"/>
        </w:rPr>
        <w:t xml:space="preserve">): </w:t>
      </w:r>
      <w:r w:rsidR="00ED3621">
        <w:rPr>
          <w:rFonts w:cs="Calibri"/>
          <w:bCs/>
          <w:iCs/>
          <w:sz w:val="20"/>
          <w:szCs w:val="20"/>
        </w:rPr>
        <w:t>305</w:t>
      </w:r>
      <w:r w:rsidRPr="00494BC6">
        <w:rPr>
          <w:rFonts w:cs="Calibri"/>
          <w:bCs/>
          <w:iCs/>
          <w:sz w:val="20"/>
          <w:szCs w:val="20"/>
        </w:rPr>
        <w:t>-</w:t>
      </w:r>
      <w:r w:rsidR="00ED3621">
        <w:rPr>
          <w:rFonts w:cs="Calibri"/>
          <w:bCs/>
          <w:iCs/>
          <w:sz w:val="20"/>
          <w:szCs w:val="20"/>
        </w:rPr>
        <w:t>310</w:t>
      </w:r>
      <w:bookmarkStart w:id="5" w:name="_GoBack"/>
      <w:bookmarkEnd w:id="5"/>
      <w:r w:rsidRPr="00494BC6">
        <w:rPr>
          <w:rFonts w:cs="Calibri"/>
          <w:bCs/>
          <w:iCs/>
          <w:sz w:val="20"/>
          <w:szCs w:val="20"/>
        </w:rPr>
        <w:t>.</w:t>
      </w:r>
      <w:r w:rsidRPr="00494BC6">
        <w:rPr>
          <w:rFonts w:cs="Calibri"/>
          <w:sz w:val="20"/>
          <w:szCs w:val="20"/>
        </w:rPr>
        <w:t xml:space="preserve"> DOI: </w:t>
      </w:r>
      <w:hyperlink r:id="rId15" w:history="1">
        <w:r w:rsidR="00ED3621" w:rsidRPr="003D30F7">
          <w:rPr>
            <w:rStyle w:val="Hyperlink"/>
            <w:rFonts w:cs="Calibri"/>
            <w:i/>
            <w:iCs/>
            <w:sz w:val="20"/>
            <w:szCs w:val="20"/>
          </w:rPr>
          <w:t>https://doi.org/10.33003/sajols-2026-0403-31</w:t>
        </w:r>
      </w:hyperlink>
      <w:bookmarkEnd w:id="0"/>
    </w:p>
    <w:p w14:paraId="72F9FF1B" w14:textId="77777777" w:rsidR="003503A1" w:rsidRPr="00494BC6" w:rsidRDefault="0010038E" w:rsidP="000D6CEE">
      <w:pPr>
        <w:spacing w:after="0" w:line="240" w:lineRule="auto"/>
        <w:jc w:val="both"/>
        <w:rPr>
          <w:rFonts w:cs="Calibri"/>
          <w:b/>
          <w:bCs/>
        </w:rPr>
      </w:pPr>
      <w:r w:rsidRPr="00494BC6">
        <w:rPr>
          <w:rFonts w:cs="Calibri"/>
          <w:b/>
          <w:bCs/>
        </w:rPr>
        <w:lastRenderedPageBreak/>
        <w:t>INTRODUCTION</w:t>
      </w:r>
    </w:p>
    <w:bookmarkEnd w:id="1"/>
    <w:p w14:paraId="0882AF26" w14:textId="77777777" w:rsidR="005039C4" w:rsidRPr="005039C4" w:rsidRDefault="005039C4" w:rsidP="005039C4">
      <w:pPr>
        <w:spacing w:after="0" w:line="240" w:lineRule="auto"/>
        <w:jc w:val="both"/>
        <w:rPr>
          <w:rFonts w:cs="Calibri"/>
          <w:bCs/>
          <w:sz w:val="20"/>
          <w:szCs w:val="20"/>
          <w:lang w:val="en-US"/>
        </w:rPr>
      </w:pPr>
      <w:r w:rsidRPr="005039C4">
        <w:rPr>
          <w:rFonts w:cs="Calibri"/>
          <w:bCs/>
          <w:sz w:val="20"/>
          <w:szCs w:val="20"/>
          <w:lang w:val="en-US"/>
        </w:rPr>
        <w:t xml:space="preserve">Methicillin-resistant </w:t>
      </w:r>
      <w:r w:rsidRPr="005039C4">
        <w:rPr>
          <w:rFonts w:cs="Calibri"/>
          <w:bCs/>
          <w:i/>
          <w:sz w:val="20"/>
          <w:szCs w:val="20"/>
          <w:lang w:val="en-US"/>
        </w:rPr>
        <w:t>Staphylococcus aureus</w:t>
      </w:r>
      <w:r w:rsidRPr="005039C4">
        <w:rPr>
          <w:rFonts w:cs="Calibri"/>
          <w:bCs/>
          <w:sz w:val="20"/>
          <w:szCs w:val="20"/>
          <w:lang w:val="en-US"/>
        </w:rPr>
        <w:t xml:space="preserve"> (MRSA) is a virulent pathogen that causes a variety of infections and is characterized by its resistance to methicillin, which has been increasing since the early 1960s. It is associated with serious clinical conditions, including invasive skin infections, pneumonia and bloodstream infections resulting in a number of morbidity and mortality rate (</w:t>
      </w:r>
      <w:proofErr w:type="spellStart"/>
      <w:r w:rsidRPr="005039C4">
        <w:rPr>
          <w:rFonts w:cs="Calibri"/>
          <w:bCs/>
          <w:sz w:val="20"/>
          <w:szCs w:val="20"/>
          <w:lang w:val="en-US"/>
        </w:rPr>
        <w:t>Alabi</w:t>
      </w:r>
      <w:proofErr w:type="spellEnd"/>
      <w:r w:rsidRPr="005039C4">
        <w:rPr>
          <w:rFonts w:cs="Calibri"/>
          <w:bCs/>
          <w:sz w:val="20"/>
          <w:szCs w:val="20"/>
          <w:lang w:val="en-US"/>
        </w:rPr>
        <w:t xml:space="preserve"> </w:t>
      </w:r>
      <w:r w:rsidRPr="005039C4">
        <w:rPr>
          <w:rFonts w:cs="Calibri"/>
          <w:bCs/>
          <w:i/>
          <w:iCs/>
          <w:sz w:val="20"/>
          <w:szCs w:val="20"/>
          <w:lang w:val="en-US"/>
        </w:rPr>
        <w:t>et al.,</w:t>
      </w:r>
      <w:r w:rsidRPr="005039C4">
        <w:rPr>
          <w:rFonts w:cs="Calibri"/>
          <w:bCs/>
          <w:sz w:val="20"/>
          <w:szCs w:val="20"/>
          <w:lang w:val="en-US"/>
        </w:rPr>
        <w:t xml:space="preserve"> 2026). In recent years, it has become one of the most prevalent bacteria in hospitals and the community. Also, MRSA has become a major pathogen in animal settings. The pathogen poses a great hazard to public health and livestock production (Li </w:t>
      </w:r>
      <w:r w:rsidRPr="005039C4">
        <w:rPr>
          <w:rFonts w:cs="Calibri"/>
          <w:bCs/>
          <w:i/>
          <w:iCs/>
          <w:sz w:val="20"/>
          <w:szCs w:val="20"/>
          <w:lang w:val="en-US"/>
        </w:rPr>
        <w:t>et al.,</w:t>
      </w:r>
      <w:r w:rsidRPr="005039C4">
        <w:rPr>
          <w:rFonts w:cs="Calibri"/>
          <w:bCs/>
          <w:sz w:val="20"/>
          <w:szCs w:val="20"/>
          <w:lang w:val="en-US"/>
        </w:rPr>
        <w:t xml:space="preserve"> 2025). The </w:t>
      </w:r>
      <w:r w:rsidRPr="005039C4">
        <w:rPr>
          <w:rFonts w:cs="Calibri"/>
          <w:bCs/>
          <w:sz w:val="20"/>
          <w:szCs w:val="20"/>
          <w:lang w:val="en-US"/>
        </w:rPr>
        <w:lastRenderedPageBreak/>
        <w:t>development of antimicrobial resistance (AMR) poses a great threat to global public health and economic stability. With the emergence of multi-drug resistance in MRSA, its resistance mechanisms have become more complex therefore there is need for research on alternative antimicrobial agents (</w:t>
      </w:r>
      <w:proofErr w:type="spellStart"/>
      <w:r w:rsidRPr="005039C4">
        <w:rPr>
          <w:rFonts w:cs="Calibri"/>
          <w:bCs/>
          <w:sz w:val="20"/>
          <w:szCs w:val="20"/>
          <w:lang w:val="en-US"/>
        </w:rPr>
        <w:t>Abebe</w:t>
      </w:r>
      <w:proofErr w:type="spellEnd"/>
      <w:r w:rsidRPr="005039C4">
        <w:rPr>
          <w:rFonts w:cs="Calibri"/>
          <w:bCs/>
          <w:sz w:val="20"/>
          <w:szCs w:val="20"/>
          <w:lang w:val="en-US"/>
        </w:rPr>
        <w:t xml:space="preserve"> </w:t>
      </w:r>
      <w:r w:rsidRPr="005039C4">
        <w:rPr>
          <w:rFonts w:cs="Calibri"/>
          <w:bCs/>
          <w:i/>
          <w:sz w:val="20"/>
          <w:szCs w:val="20"/>
          <w:lang w:val="en-US"/>
        </w:rPr>
        <w:t>et al.,</w:t>
      </w:r>
      <w:r w:rsidRPr="005039C4">
        <w:rPr>
          <w:rFonts w:cs="Calibri"/>
          <w:bCs/>
          <w:sz w:val="20"/>
          <w:szCs w:val="20"/>
          <w:lang w:val="en-US"/>
        </w:rPr>
        <w:t xml:space="preserve"> 2023).</w:t>
      </w:r>
    </w:p>
    <w:p w14:paraId="1885FDFA" w14:textId="77777777" w:rsidR="005039C4" w:rsidRPr="005039C4" w:rsidRDefault="005039C4" w:rsidP="005039C4">
      <w:pPr>
        <w:spacing w:after="0" w:line="240" w:lineRule="auto"/>
        <w:jc w:val="both"/>
        <w:rPr>
          <w:rFonts w:cs="Calibri"/>
          <w:bCs/>
          <w:sz w:val="20"/>
          <w:szCs w:val="20"/>
          <w:lang w:val="en-US"/>
        </w:rPr>
      </w:pPr>
      <w:r w:rsidRPr="005039C4">
        <w:rPr>
          <w:rFonts w:cs="Calibri"/>
          <w:bCs/>
          <w:sz w:val="20"/>
          <w:szCs w:val="20"/>
          <w:lang w:val="en-US"/>
        </w:rPr>
        <w:t>Mango (</w:t>
      </w:r>
      <w:proofErr w:type="spellStart"/>
      <w:r w:rsidRPr="005039C4">
        <w:rPr>
          <w:rFonts w:cs="Calibri"/>
          <w:bCs/>
          <w:i/>
          <w:sz w:val="20"/>
          <w:szCs w:val="20"/>
          <w:lang w:val="en-US"/>
        </w:rPr>
        <w:t>Mangifera</w:t>
      </w:r>
      <w:proofErr w:type="spellEnd"/>
      <w:r w:rsidRPr="005039C4">
        <w:rPr>
          <w:rFonts w:cs="Calibri"/>
          <w:bCs/>
          <w:i/>
          <w:sz w:val="20"/>
          <w:szCs w:val="20"/>
          <w:lang w:val="en-US"/>
        </w:rPr>
        <w:t xml:space="preserve"> indica</w:t>
      </w:r>
      <w:r w:rsidRPr="005039C4">
        <w:rPr>
          <w:rFonts w:cs="Calibri"/>
          <w:bCs/>
          <w:sz w:val="20"/>
          <w:szCs w:val="20"/>
          <w:lang w:val="en-US"/>
        </w:rPr>
        <w:t xml:space="preserve">) Plants are rich in wide variety of secondary metabolites such as tannins, </w:t>
      </w:r>
      <w:proofErr w:type="spellStart"/>
      <w:r w:rsidRPr="005039C4">
        <w:rPr>
          <w:rFonts w:cs="Calibri"/>
          <w:bCs/>
          <w:sz w:val="20"/>
          <w:szCs w:val="20"/>
          <w:lang w:val="en-US"/>
        </w:rPr>
        <w:t>terpenoids</w:t>
      </w:r>
      <w:proofErr w:type="spellEnd"/>
      <w:r w:rsidRPr="005039C4">
        <w:rPr>
          <w:rFonts w:cs="Calibri"/>
          <w:bCs/>
          <w:sz w:val="20"/>
          <w:szCs w:val="20"/>
          <w:lang w:val="en-US"/>
        </w:rPr>
        <w:t xml:space="preserve">, alkaloids and flavonoids which have been found </w:t>
      </w:r>
      <w:r w:rsidRPr="005039C4">
        <w:rPr>
          <w:rFonts w:cs="Calibri"/>
          <w:bCs/>
          <w:i/>
          <w:sz w:val="20"/>
          <w:szCs w:val="20"/>
          <w:lang w:val="en-US"/>
        </w:rPr>
        <w:t>in vitro</w:t>
      </w:r>
      <w:r w:rsidRPr="005039C4">
        <w:rPr>
          <w:rFonts w:cs="Calibri"/>
          <w:bCs/>
          <w:sz w:val="20"/>
          <w:szCs w:val="20"/>
          <w:lang w:val="en-US"/>
        </w:rPr>
        <w:t xml:space="preserve"> to have antimicrobial properties. Since ancient time, natural products have been utilized to treat a variety of human diseases and have become potential source for being therapeutic agents </w:t>
      </w:r>
      <w:r w:rsidRPr="005039C4">
        <w:rPr>
          <w:rFonts w:cs="Calibri"/>
          <w:bCs/>
          <w:sz w:val="20"/>
          <w:szCs w:val="20"/>
          <w:lang w:val="en-US"/>
        </w:rPr>
        <w:lastRenderedPageBreak/>
        <w:t>because of their unique and immense chemical diversity (</w:t>
      </w:r>
      <w:proofErr w:type="spellStart"/>
      <w:r w:rsidRPr="005039C4">
        <w:rPr>
          <w:rFonts w:cs="Calibri"/>
          <w:bCs/>
          <w:sz w:val="20"/>
          <w:szCs w:val="20"/>
          <w:lang w:val="en-US"/>
        </w:rPr>
        <w:t>Amedei</w:t>
      </w:r>
      <w:proofErr w:type="spellEnd"/>
      <w:r w:rsidRPr="005039C4">
        <w:rPr>
          <w:rFonts w:cs="Calibri"/>
          <w:bCs/>
          <w:sz w:val="20"/>
          <w:szCs w:val="20"/>
          <w:lang w:val="en-US"/>
        </w:rPr>
        <w:t xml:space="preserve"> and </w:t>
      </w:r>
      <w:proofErr w:type="spellStart"/>
      <w:r w:rsidRPr="005039C4">
        <w:rPr>
          <w:rFonts w:cs="Calibri"/>
          <w:bCs/>
          <w:sz w:val="20"/>
          <w:szCs w:val="20"/>
          <w:lang w:val="en-US"/>
        </w:rPr>
        <w:t>Niccolai</w:t>
      </w:r>
      <w:proofErr w:type="spellEnd"/>
      <w:r w:rsidRPr="005039C4">
        <w:rPr>
          <w:rFonts w:cs="Calibri"/>
          <w:bCs/>
          <w:sz w:val="20"/>
          <w:szCs w:val="20"/>
          <w:lang w:val="en-US"/>
        </w:rPr>
        <w:t xml:space="preserve">, 2024). The phytochemical constituents such as phenol, alkaloid </w:t>
      </w:r>
      <w:proofErr w:type="spellStart"/>
      <w:r w:rsidRPr="005039C4">
        <w:rPr>
          <w:rFonts w:cs="Calibri"/>
          <w:bCs/>
          <w:sz w:val="20"/>
          <w:szCs w:val="20"/>
          <w:lang w:val="en-US"/>
        </w:rPr>
        <w:t>tannis</w:t>
      </w:r>
      <w:proofErr w:type="spellEnd"/>
      <w:r w:rsidRPr="005039C4">
        <w:rPr>
          <w:rFonts w:cs="Calibri"/>
          <w:bCs/>
          <w:sz w:val="20"/>
          <w:szCs w:val="20"/>
          <w:lang w:val="en-US"/>
        </w:rPr>
        <w:t>, glycosides and essential oils determine the medical capabilities of plants (</w:t>
      </w:r>
      <w:proofErr w:type="spellStart"/>
      <w:r w:rsidRPr="005039C4">
        <w:rPr>
          <w:rFonts w:cs="Calibri"/>
          <w:bCs/>
          <w:sz w:val="20"/>
          <w:szCs w:val="20"/>
          <w:lang w:val="en-US"/>
        </w:rPr>
        <w:t>Futur</w:t>
      </w:r>
      <w:proofErr w:type="spellEnd"/>
      <w:r w:rsidRPr="005039C4">
        <w:rPr>
          <w:rFonts w:cs="Calibri"/>
          <w:bCs/>
          <w:sz w:val="20"/>
          <w:szCs w:val="20"/>
          <w:lang w:val="en-US"/>
        </w:rPr>
        <w:t xml:space="preserve">, 2023). Mango leaves contain several beneficial plant compounds including polyphenol and </w:t>
      </w:r>
      <w:proofErr w:type="spellStart"/>
      <w:r w:rsidRPr="005039C4">
        <w:rPr>
          <w:rFonts w:cs="Calibri"/>
          <w:bCs/>
          <w:sz w:val="20"/>
          <w:szCs w:val="20"/>
          <w:lang w:val="en-US"/>
        </w:rPr>
        <w:t>terpenoids</w:t>
      </w:r>
      <w:proofErr w:type="spellEnd"/>
      <w:r w:rsidRPr="005039C4">
        <w:rPr>
          <w:rFonts w:cs="Calibri"/>
          <w:bCs/>
          <w:sz w:val="20"/>
          <w:szCs w:val="20"/>
          <w:lang w:val="en-US"/>
        </w:rPr>
        <w:t xml:space="preserve">. Polyphenols have antioxidant and anti-inflammatory properties which help prevent heart disease and cancer. </w:t>
      </w:r>
      <w:proofErr w:type="spellStart"/>
      <w:r w:rsidRPr="005039C4">
        <w:rPr>
          <w:rFonts w:cs="Calibri"/>
          <w:bCs/>
          <w:sz w:val="20"/>
          <w:szCs w:val="20"/>
          <w:lang w:val="en-US"/>
        </w:rPr>
        <w:t>Terpenoids</w:t>
      </w:r>
      <w:proofErr w:type="spellEnd"/>
      <w:r w:rsidRPr="005039C4">
        <w:rPr>
          <w:rFonts w:cs="Calibri"/>
          <w:bCs/>
          <w:sz w:val="20"/>
          <w:szCs w:val="20"/>
          <w:lang w:val="en-US"/>
        </w:rPr>
        <w:t xml:space="preserve"> are antioxidants that protect cells from harmful free radicals and play a key role in immune health. Mango leaves also contains phenols and flavonoids that help against adverse effect of free radical and prevent cellular damage. Flavonoids are mostly concentrated in fruit leaves of </w:t>
      </w:r>
      <w:proofErr w:type="spellStart"/>
      <w:r w:rsidRPr="005039C4">
        <w:rPr>
          <w:rFonts w:cs="Calibri"/>
          <w:bCs/>
          <w:i/>
          <w:sz w:val="20"/>
          <w:szCs w:val="20"/>
          <w:lang w:val="en-US"/>
        </w:rPr>
        <w:t>Mangifera</w:t>
      </w:r>
      <w:proofErr w:type="spellEnd"/>
      <w:r w:rsidRPr="005039C4">
        <w:rPr>
          <w:rFonts w:cs="Calibri"/>
          <w:bCs/>
          <w:i/>
          <w:sz w:val="20"/>
          <w:szCs w:val="20"/>
          <w:lang w:val="en-US"/>
        </w:rPr>
        <w:t xml:space="preserve"> indica</w:t>
      </w:r>
      <w:r w:rsidRPr="005039C4">
        <w:rPr>
          <w:rFonts w:cs="Calibri"/>
          <w:bCs/>
          <w:sz w:val="20"/>
          <w:szCs w:val="20"/>
          <w:lang w:val="en-US"/>
        </w:rPr>
        <w:t xml:space="preserve"> (</w:t>
      </w:r>
      <w:proofErr w:type="spellStart"/>
      <w:r w:rsidRPr="005039C4">
        <w:rPr>
          <w:rFonts w:cs="Calibri"/>
          <w:bCs/>
          <w:sz w:val="20"/>
          <w:szCs w:val="20"/>
          <w:lang w:val="en-US"/>
        </w:rPr>
        <w:t>Sferrazzo</w:t>
      </w:r>
      <w:proofErr w:type="spellEnd"/>
      <w:r w:rsidRPr="005039C4">
        <w:rPr>
          <w:rFonts w:cs="Calibri"/>
          <w:bCs/>
          <w:i/>
          <w:iCs/>
          <w:sz w:val="20"/>
          <w:szCs w:val="20"/>
          <w:lang w:val="en-US"/>
        </w:rPr>
        <w:t xml:space="preserve"> et al.,</w:t>
      </w:r>
      <w:r w:rsidRPr="005039C4">
        <w:rPr>
          <w:rFonts w:cs="Calibri"/>
          <w:bCs/>
          <w:sz w:val="20"/>
          <w:szCs w:val="20"/>
          <w:lang w:val="en-US"/>
        </w:rPr>
        <w:t xml:space="preserve"> 2022). </w:t>
      </w:r>
      <w:proofErr w:type="spellStart"/>
      <w:r w:rsidRPr="005039C4">
        <w:rPr>
          <w:rFonts w:cs="Calibri"/>
          <w:bCs/>
          <w:sz w:val="20"/>
          <w:szCs w:val="20"/>
          <w:lang w:val="en-US"/>
        </w:rPr>
        <w:t>Mangiferin</w:t>
      </w:r>
      <w:proofErr w:type="spellEnd"/>
      <w:r w:rsidRPr="005039C4">
        <w:rPr>
          <w:rFonts w:cs="Calibri"/>
          <w:bCs/>
          <w:sz w:val="20"/>
          <w:szCs w:val="20"/>
          <w:lang w:val="en-US"/>
        </w:rPr>
        <w:t xml:space="preserve"> is reported to be the most abundant phytochemical in mango plant. </w:t>
      </w:r>
      <w:proofErr w:type="spellStart"/>
      <w:r w:rsidRPr="005039C4">
        <w:rPr>
          <w:rFonts w:cs="Calibri"/>
          <w:bCs/>
          <w:sz w:val="20"/>
          <w:szCs w:val="20"/>
          <w:lang w:val="en-US"/>
        </w:rPr>
        <w:t>Mangiferin</w:t>
      </w:r>
      <w:proofErr w:type="spellEnd"/>
      <w:r w:rsidRPr="005039C4">
        <w:rPr>
          <w:rFonts w:cs="Calibri"/>
          <w:bCs/>
          <w:sz w:val="20"/>
          <w:szCs w:val="20"/>
          <w:lang w:val="en-US"/>
        </w:rPr>
        <w:t xml:space="preserve"> appears to exert a wider spectrum of antibacterial activities compared to a major phytochemical due to ability to inhibit Gram positive (Singh </w:t>
      </w:r>
      <w:r w:rsidRPr="005039C4">
        <w:rPr>
          <w:rFonts w:cs="Calibri"/>
          <w:bCs/>
          <w:i/>
          <w:iCs/>
          <w:sz w:val="20"/>
          <w:szCs w:val="20"/>
          <w:lang w:val="en-US"/>
        </w:rPr>
        <w:t>et al.,</w:t>
      </w:r>
      <w:r w:rsidRPr="005039C4">
        <w:rPr>
          <w:rFonts w:cs="Calibri"/>
          <w:bCs/>
          <w:sz w:val="20"/>
          <w:szCs w:val="20"/>
          <w:lang w:val="en-US"/>
        </w:rPr>
        <w:t xml:space="preserve"> 2022). </w:t>
      </w:r>
    </w:p>
    <w:p w14:paraId="676D29FF" w14:textId="77777777" w:rsidR="005039C4" w:rsidRPr="005039C4" w:rsidRDefault="005039C4" w:rsidP="005039C4">
      <w:pPr>
        <w:spacing w:before="120" w:after="0" w:line="240" w:lineRule="auto"/>
        <w:jc w:val="both"/>
        <w:rPr>
          <w:rFonts w:cs="Calibri"/>
          <w:b/>
          <w:bCs/>
          <w:szCs w:val="20"/>
          <w:lang w:val="en-US"/>
        </w:rPr>
      </w:pPr>
      <w:r w:rsidRPr="005039C4">
        <w:rPr>
          <w:rFonts w:cs="Calibri"/>
          <w:b/>
          <w:bCs/>
          <w:szCs w:val="20"/>
          <w:lang w:val="en-US"/>
        </w:rPr>
        <w:t>MATERIALS AND METHODS</w:t>
      </w:r>
    </w:p>
    <w:p w14:paraId="61F11518" w14:textId="77777777" w:rsidR="005039C4" w:rsidRPr="005039C4" w:rsidRDefault="005039C4" w:rsidP="005039C4">
      <w:pPr>
        <w:spacing w:after="0" w:line="240" w:lineRule="auto"/>
        <w:jc w:val="both"/>
        <w:rPr>
          <w:rFonts w:cs="Calibri"/>
          <w:bCs/>
          <w:sz w:val="20"/>
          <w:szCs w:val="20"/>
          <w:lang w:val="en-US"/>
        </w:rPr>
      </w:pPr>
      <w:r w:rsidRPr="005039C4">
        <w:rPr>
          <w:rFonts w:cs="Calibri"/>
          <w:b/>
          <w:bCs/>
          <w:sz w:val="20"/>
          <w:szCs w:val="20"/>
          <w:lang w:val="en-US"/>
        </w:rPr>
        <w:t>Collection and Identification of Plant material:</w:t>
      </w:r>
      <w:r w:rsidRPr="005039C4">
        <w:rPr>
          <w:rFonts w:cs="Calibri"/>
          <w:bCs/>
          <w:sz w:val="20"/>
          <w:szCs w:val="20"/>
          <w:lang w:val="en-US"/>
        </w:rPr>
        <w:t xml:space="preserve"> Fresh mango (</w:t>
      </w:r>
      <w:proofErr w:type="spellStart"/>
      <w:r w:rsidRPr="005039C4">
        <w:rPr>
          <w:rFonts w:cs="Calibri"/>
          <w:bCs/>
          <w:i/>
          <w:sz w:val="20"/>
          <w:szCs w:val="20"/>
          <w:lang w:val="en-US"/>
        </w:rPr>
        <w:t>Mangifera</w:t>
      </w:r>
      <w:proofErr w:type="spellEnd"/>
      <w:r w:rsidRPr="005039C4">
        <w:rPr>
          <w:rFonts w:cs="Calibri"/>
          <w:bCs/>
          <w:i/>
          <w:sz w:val="20"/>
          <w:szCs w:val="20"/>
          <w:lang w:val="en-US"/>
        </w:rPr>
        <w:t xml:space="preserve"> indica</w:t>
      </w:r>
      <w:r w:rsidRPr="005039C4">
        <w:rPr>
          <w:rFonts w:cs="Calibri"/>
          <w:bCs/>
          <w:sz w:val="20"/>
          <w:szCs w:val="20"/>
          <w:lang w:val="en-US"/>
        </w:rPr>
        <w:t xml:space="preserve">) leaves were collected from healthy trees in Kaduna State University garden. The plant was identified based on its morphological features, which include simple, alternate, </w:t>
      </w:r>
      <w:proofErr w:type="spellStart"/>
      <w:r w:rsidRPr="005039C4">
        <w:rPr>
          <w:rFonts w:cs="Calibri"/>
          <w:bCs/>
          <w:sz w:val="20"/>
          <w:szCs w:val="20"/>
          <w:lang w:val="en-US"/>
        </w:rPr>
        <w:t>lanceolate</w:t>
      </w:r>
      <w:proofErr w:type="spellEnd"/>
      <w:r w:rsidRPr="005039C4">
        <w:rPr>
          <w:rFonts w:cs="Calibri"/>
          <w:bCs/>
          <w:sz w:val="20"/>
          <w:szCs w:val="20"/>
          <w:lang w:val="en-US"/>
        </w:rPr>
        <w:t xml:space="preserve"> leaves measuring 15–35 cm in length, reddish young leaves that turn dark green and glossy when mature and a characteristic turpentine-like odor when crushed (Morton, 1987; </w:t>
      </w:r>
      <w:proofErr w:type="spellStart"/>
      <w:r w:rsidRPr="005039C4">
        <w:rPr>
          <w:rFonts w:cs="Calibri"/>
          <w:bCs/>
          <w:sz w:val="20"/>
          <w:szCs w:val="20"/>
          <w:lang w:val="en-US"/>
        </w:rPr>
        <w:t>Orwa</w:t>
      </w:r>
      <w:proofErr w:type="spellEnd"/>
      <w:r w:rsidRPr="005039C4">
        <w:rPr>
          <w:rFonts w:cs="Calibri"/>
          <w:bCs/>
          <w:sz w:val="20"/>
          <w:szCs w:val="20"/>
          <w:lang w:val="en-US"/>
        </w:rPr>
        <w:t xml:space="preserve"> </w:t>
      </w:r>
      <w:r w:rsidRPr="005039C4">
        <w:rPr>
          <w:rFonts w:cs="Calibri"/>
          <w:bCs/>
          <w:i/>
          <w:sz w:val="20"/>
          <w:szCs w:val="20"/>
          <w:lang w:val="en-US"/>
        </w:rPr>
        <w:t>et al.,</w:t>
      </w:r>
      <w:r w:rsidRPr="005039C4">
        <w:rPr>
          <w:rFonts w:cs="Calibri"/>
          <w:bCs/>
          <w:sz w:val="20"/>
          <w:szCs w:val="20"/>
          <w:lang w:val="en-US"/>
        </w:rPr>
        <w:t xml:space="preserve"> 2021). Mature, disease-free leaves were carefully plucked using sterile scissors and placed in clean, labeled polythene bags to avoid contamination and transported to the laboratory for further processing (</w:t>
      </w:r>
      <w:proofErr w:type="spellStart"/>
      <w:r w:rsidRPr="005039C4">
        <w:rPr>
          <w:rFonts w:cs="Calibri"/>
          <w:bCs/>
          <w:sz w:val="20"/>
          <w:szCs w:val="20"/>
          <w:lang w:val="en-US"/>
        </w:rPr>
        <w:t>Sasidharan</w:t>
      </w:r>
      <w:proofErr w:type="spellEnd"/>
      <w:r w:rsidRPr="005039C4">
        <w:rPr>
          <w:rFonts w:cs="Calibri"/>
          <w:bCs/>
          <w:sz w:val="20"/>
          <w:szCs w:val="20"/>
          <w:lang w:val="en-US"/>
        </w:rPr>
        <w:t xml:space="preserve"> </w:t>
      </w:r>
      <w:r w:rsidRPr="005039C4">
        <w:rPr>
          <w:rFonts w:cs="Calibri"/>
          <w:bCs/>
          <w:i/>
          <w:iCs/>
          <w:sz w:val="20"/>
          <w:szCs w:val="20"/>
          <w:lang w:val="en-US"/>
        </w:rPr>
        <w:t>et al.,</w:t>
      </w:r>
      <w:r w:rsidRPr="005039C4">
        <w:rPr>
          <w:rFonts w:cs="Calibri"/>
          <w:bCs/>
          <w:sz w:val="20"/>
          <w:szCs w:val="20"/>
          <w:lang w:val="en-US"/>
        </w:rPr>
        <w:t xml:space="preserve"> 2021).</w:t>
      </w:r>
    </w:p>
    <w:p w14:paraId="78C3246A" w14:textId="77777777" w:rsidR="005039C4" w:rsidRPr="005039C4" w:rsidRDefault="005039C4" w:rsidP="005039C4">
      <w:pPr>
        <w:spacing w:after="0" w:line="240" w:lineRule="auto"/>
        <w:jc w:val="both"/>
        <w:rPr>
          <w:rFonts w:cs="Calibri"/>
          <w:bCs/>
          <w:sz w:val="20"/>
          <w:szCs w:val="20"/>
          <w:lang w:val="en-US"/>
        </w:rPr>
      </w:pPr>
      <w:r w:rsidRPr="005039C4">
        <w:rPr>
          <w:rFonts w:cs="Calibri"/>
          <w:b/>
          <w:bCs/>
          <w:sz w:val="20"/>
          <w:szCs w:val="20"/>
          <w:lang w:val="en-US"/>
        </w:rPr>
        <w:t>Drying and Processing of the Plant Material:</w:t>
      </w:r>
      <w:r w:rsidRPr="005039C4">
        <w:rPr>
          <w:rFonts w:cs="Calibri"/>
          <w:bCs/>
          <w:sz w:val="20"/>
          <w:szCs w:val="20"/>
          <w:lang w:val="en-US"/>
        </w:rPr>
        <w:t xml:space="preserve"> The freshly collected mango leaves were thoroughly washed under running tap water to remove dust, soil and debris, followed by rinsing with distilled water to minimize surface contamination. The leaves were then spread on clean trays and air-dried at room temperature under shade for 7–14 days until a constant weight was achieved. Shade-drying is preferred to preserve heat-sensitive phytochemicals that could otherwise be degraded by direct sunlight or excessive heat (</w:t>
      </w:r>
      <w:proofErr w:type="spellStart"/>
      <w:r w:rsidRPr="005039C4">
        <w:rPr>
          <w:rFonts w:cs="Calibri"/>
          <w:bCs/>
          <w:sz w:val="20"/>
          <w:szCs w:val="20"/>
          <w:lang w:val="en-US"/>
        </w:rPr>
        <w:t>Harborne</w:t>
      </w:r>
      <w:proofErr w:type="spellEnd"/>
      <w:r w:rsidRPr="005039C4">
        <w:rPr>
          <w:rFonts w:cs="Calibri"/>
          <w:bCs/>
          <w:sz w:val="20"/>
          <w:szCs w:val="20"/>
          <w:lang w:val="en-US"/>
        </w:rPr>
        <w:t xml:space="preserve">, 2020; </w:t>
      </w:r>
      <w:proofErr w:type="spellStart"/>
      <w:r w:rsidRPr="005039C4">
        <w:rPr>
          <w:rFonts w:cs="Calibri"/>
          <w:bCs/>
          <w:sz w:val="20"/>
          <w:szCs w:val="20"/>
          <w:lang w:val="en-US"/>
        </w:rPr>
        <w:t>Abubakar</w:t>
      </w:r>
      <w:proofErr w:type="spellEnd"/>
      <w:r w:rsidRPr="005039C4">
        <w:rPr>
          <w:rFonts w:cs="Calibri"/>
          <w:bCs/>
          <w:sz w:val="20"/>
          <w:szCs w:val="20"/>
          <w:lang w:val="en-US"/>
        </w:rPr>
        <w:t xml:space="preserve"> and </w:t>
      </w:r>
      <w:proofErr w:type="spellStart"/>
      <w:r w:rsidRPr="005039C4">
        <w:rPr>
          <w:rFonts w:cs="Calibri"/>
          <w:bCs/>
          <w:sz w:val="20"/>
          <w:szCs w:val="20"/>
          <w:lang w:val="en-US"/>
        </w:rPr>
        <w:t>Haque</w:t>
      </w:r>
      <w:proofErr w:type="spellEnd"/>
      <w:r w:rsidRPr="005039C4">
        <w:rPr>
          <w:rFonts w:cs="Calibri"/>
          <w:bCs/>
          <w:sz w:val="20"/>
          <w:szCs w:val="20"/>
          <w:lang w:val="en-US"/>
        </w:rPr>
        <w:t xml:space="preserve">, 2020). After complete drying, the leaves were ground into a fine powder using a sterile electric blender and stored in sterile, airtight, labeled containers at room temperature until required for </w:t>
      </w:r>
      <w:r w:rsidRPr="005039C4">
        <w:rPr>
          <w:rFonts w:cs="Calibri"/>
          <w:bCs/>
          <w:sz w:val="20"/>
          <w:szCs w:val="20"/>
          <w:lang w:val="en-US"/>
        </w:rPr>
        <w:lastRenderedPageBreak/>
        <w:t>extraction and further analysis (</w:t>
      </w:r>
      <w:proofErr w:type="spellStart"/>
      <w:r w:rsidRPr="005039C4">
        <w:rPr>
          <w:rFonts w:cs="Calibri"/>
          <w:bCs/>
          <w:sz w:val="20"/>
          <w:szCs w:val="20"/>
          <w:lang w:val="en-US"/>
        </w:rPr>
        <w:t>Sasidharan</w:t>
      </w:r>
      <w:proofErr w:type="spellEnd"/>
      <w:r w:rsidRPr="005039C4">
        <w:rPr>
          <w:rFonts w:cs="Calibri"/>
          <w:bCs/>
          <w:sz w:val="20"/>
          <w:szCs w:val="20"/>
          <w:lang w:val="en-US"/>
        </w:rPr>
        <w:t xml:space="preserve"> </w:t>
      </w:r>
      <w:r w:rsidRPr="005039C4">
        <w:rPr>
          <w:rFonts w:cs="Calibri"/>
          <w:bCs/>
          <w:i/>
          <w:sz w:val="20"/>
          <w:szCs w:val="20"/>
          <w:lang w:val="en-US"/>
        </w:rPr>
        <w:t>et al.,</w:t>
      </w:r>
      <w:r w:rsidRPr="005039C4">
        <w:rPr>
          <w:rFonts w:cs="Calibri"/>
          <w:bCs/>
          <w:sz w:val="20"/>
          <w:szCs w:val="20"/>
          <w:lang w:val="en-US"/>
        </w:rPr>
        <w:t xml:space="preserve"> 2021). </w:t>
      </w:r>
    </w:p>
    <w:p w14:paraId="7158E985" w14:textId="77777777" w:rsidR="005039C4" w:rsidRPr="005039C4" w:rsidRDefault="005039C4" w:rsidP="005039C4">
      <w:pPr>
        <w:spacing w:after="0" w:line="240" w:lineRule="auto"/>
        <w:jc w:val="both"/>
        <w:rPr>
          <w:rFonts w:cs="Calibri"/>
          <w:bCs/>
          <w:sz w:val="20"/>
          <w:szCs w:val="20"/>
          <w:lang w:val="en-US"/>
        </w:rPr>
      </w:pPr>
      <w:r w:rsidRPr="005039C4">
        <w:rPr>
          <w:rFonts w:cs="Calibri"/>
          <w:bCs/>
          <w:sz w:val="20"/>
          <w:szCs w:val="20"/>
          <w:lang w:val="en-US"/>
        </w:rPr>
        <w:t xml:space="preserve"> </w:t>
      </w:r>
      <w:r w:rsidRPr="005039C4">
        <w:rPr>
          <w:rFonts w:cs="Calibri"/>
          <w:b/>
          <w:bCs/>
          <w:sz w:val="20"/>
          <w:szCs w:val="20"/>
          <w:lang w:val="en-US"/>
        </w:rPr>
        <w:t xml:space="preserve">Extraction Procedure: </w:t>
      </w:r>
      <w:r w:rsidRPr="005039C4">
        <w:rPr>
          <w:rFonts w:cs="Calibri"/>
          <w:bCs/>
          <w:sz w:val="20"/>
          <w:szCs w:val="20"/>
          <w:lang w:val="en-US"/>
        </w:rPr>
        <w:t xml:space="preserve">Solvent extraction was carried out using aqueous and ethanol solutions. About 50 g of the powdered leaf was soaked in 250 mL of solvent for 72 hours with intermittent shaking. The extract was filtered through </w:t>
      </w:r>
      <w:proofErr w:type="spellStart"/>
      <w:r w:rsidRPr="005039C4">
        <w:rPr>
          <w:rFonts w:cs="Calibri"/>
          <w:bCs/>
          <w:sz w:val="20"/>
          <w:szCs w:val="20"/>
          <w:lang w:val="en-US"/>
        </w:rPr>
        <w:t>Whatman</w:t>
      </w:r>
      <w:proofErr w:type="spellEnd"/>
      <w:r w:rsidRPr="005039C4">
        <w:rPr>
          <w:rFonts w:cs="Calibri"/>
          <w:bCs/>
          <w:sz w:val="20"/>
          <w:szCs w:val="20"/>
          <w:lang w:val="en-US"/>
        </w:rPr>
        <w:t xml:space="preserve"> No. 1 filter paper, concentrated using a rotary evaporator and stored at 4°C until use (Cowan, 1999). </w:t>
      </w:r>
    </w:p>
    <w:p w14:paraId="7B038C9F" w14:textId="77777777" w:rsidR="005039C4" w:rsidRPr="005039C4" w:rsidRDefault="005039C4" w:rsidP="005039C4">
      <w:pPr>
        <w:spacing w:after="0" w:line="240" w:lineRule="auto"/>
        <w:jc w:val="both"/>
        <w:rPr>
          <w:rFonts w:cs="Calibri"/>
          <w:bCs/>
          <w:sz w:val="20"/>
          <w:szCs w:val="20"/>
          <w:lang w:val="en-US"/>
        </w:rPr>
      </w:pPr>
      <w:r w:rsidRPr="005039C4">
        <w:rPr>
          <w:rFonts w:cs="Calibri"/>
          <w:b/>
          <w:bCs/>
          <w:sz w:val="20"/>
          <w:szCs w:val="20"/>
          <w:lang w:val="en-US"/>
        </w:rPr>
        <w:t>Test Organism:</w:t>
      </w:r>
      <w:r w:rsidRPr="005039C4">
        <w:rPr>
          <w:rFonts w:cs="Calibri"/>
          <w:bCs/>
          <w:sz w:val="20"/>
          <w:szCs w:val="20"/>
          <w:lang w:val="en-US"/>
        </w:rPr>
        <w:t xml:space="preserve"> Clinical isolates suspected to be methicillin-resistant </w:t>
      </w:r>
      <w:r w:rsidRPr="005039C4">
        <w:rPr>
          <w:rFonts w:cs="Calibri"/>
          <w:bCs/>
          <w:i/>
          <w:iCs/>
          <w:sz w:val="20"/>
          <w:szCs w:val="20"/>
          <w:lang w:val="en-US"/>
        </w:rPr>
        <w:t>Staphylococcus aureus</w:t>
      </w:r>
      <w:r w:rsidRPr="005039C4">
        <w:rPr>
          <w:rFonts w:cs="Calibri"/>
          <w:bCs/>
          <w:sz w:val="20"/>
          <w:szCs w:val="20"/>
          <w:lang w:val="en-US"/>
        </w:rPr>
        <w:t xml:space="preserve"> was first subjected to gram staining for preliminary identification. Smears was prepared from pure cultures, heat-fixed and sequentially treated with crystal violet, Gram’s iodine, 95% ethanol and </w:t>
      </w:r>
      <w:proofErr w:type="spellStart"/>
      <w:r w:rsidRPr="005039C4">
        <w:rPr>
          <w:rFonts w:cs="Calibri"/>
          <w:bCs/>
          <w:sz w:val="20"/>
          <w:szCs w:val="20"/>
          <w:lang w:val="en-US"/>
        </w:rPr>
        <w:t>safranin</w:t>
      </w:r>
      <w:proofErr w:type="spellEnd"/>
      <w:r w:rsidRPr="005039C4">
        <w:rPr>
          <w:rFonts w:cs="Calibri"/>
          <w:bCs/>
          <w:sz w:val="20"/>
          <w:szCs w:val="20"/>
          <w:lang w:val="en-US"/>
        </w:rPr>
        <w:t xml:space="preserve">. Microscopic examination under oil immersion (100×) revealed Gram-positive </w:t>
      </w:r>
      <w:proofErr w:type="spellStart"/>
      <w:r w:rsidRPr="005039C4">
        <w:rPr>
          <w:rFonts w:cs="Calibri"/>
          <w:bCs/>
          <w:sz w:val="20"/>
          <w:szCs w:val="20"/>
          <w:lang w:val="en-US"/>
        </w:rPr>
        <w:t>cocci</w:t>
      </w:r>
      <w:proofErr w:type="spellEnd"/>
      <w:r w:rsidRPr="005039C4">
        <w:rPr>
          <w:rFonts w:cs="Calibri"/>
          <w:bCs/>
          <w:sz w:val="20"/>
          <w:szCs w:val="20"/>
          <w:lang w:val="en-US"/>
        </w:rPr>
        <w:t xml:space="preserve"> appearing as purple spherical cells arranged in grape-like clusters, characteristic of </w:t>
      </w:r>
      <w:r w:rsidRPr="005039C4">
        <w:rPr>
          <w:rFonts w:cs="Calibri"/>
          <w:bCs/>
          <w:i/>
          <w:iCs/>
          <w:sz w:val="20"/>
          <w:szCs w:val="20"/>
          <w:lang w:val="en-US"/>
        </w:rPr>
        <w:t xml:space="preserve">Staphylococcus </w:t>
      </w:r>
      <w:r w:rsidRPr="005039C4">
        <w:rPr>
          <w:rFonts w:cs="Calibri"/>
          <w:bCs/>
          <w:iCs/>
          <w:sz w:val="20"/>
          <w:szCs w:val="20"/>
          <w:lang w:val="en-US"/>
        </w:rPr>
        <w:t>species</w:t>
      </w:r>
      <w:r w:rsidRPr="005039C4">
        <w:rPr>
          <w:rFonts w:cs="Calibri"/>
          <w:bCs/>
          <w:sz w:val="20"/>
          <w:szCs w:val="20"/>
          <w:lang w:val="en-US"/>
        </w:rPr>
        <w:t xml:space="preserve"> (</w:t>
      </w:r>
      <w:proofErr w:type="spellStart"/>
      <w:r w:rsidRPr="005039C4">
        <w:rPr>
          <w:rFonts w:cs="Calibri"/>
          <w:bCs/>
          <w:sz w:val="20"/>
          <w:szCs w:val="20"/>
          <w:lang w:val="en-US"/>
        </w:rPr>
        <w:t>Cheesbrough</w:t>
      </w:r>
      <w:proofErr w:type="spellEnd"/>
      <w:r w:rsidRPr="005039C4">
        <w:rPr>
          <w:rFonts w:cs="Calibri"/>
          <w:bCs/>
          <w:sz w:val="20"/>
          <w:szCs w:val="20"/>
          <w:lang w:val="en-US"/>
        </w:rPr>
        <w:t xml:space="preserve">, 2023). To further confirm the isolates, standard biochemical tests was carried out. The catalase test was performed by applying 3% hydrogen peroxide to a fresh colony; immediate effervescence indicates a positive reaction, consistent with </w:t>
      </w:r>
      <w:r w:rsidRPr="005039C4">
        <w:rPr>
          <w:rFonts w:cs="Calibri"/>
          <w:bCs/>
          <w:i/>
          <w:iCs/>
          <w:sz w:val="20"/>
          <w:szCs w:val="20"/>
          <w:lang w:val="en-US"/>
        </w:rPr>
        <w:t xml:space="preserve">Staphylococcus </w:t>
      </w:r>
      <w:r w:rsidRPr="005039C4">
        <w:rPr>
          <w:rFonts w:cs="Calibri"/>
          <w:bCs/>
          <w:iCs/>
          <w:sz w:val="20"/>
          <w:szCs w:val="20"/>
          <w:lang w:val="en-US"/>
        </w:rPr>
        <w:t>species.</w:t>
      </w:r>
      <w:r w:rsidRPr="005039C4">
        <w:rPr>
          <w:rFonts w:cs="Calibri"/>
          <w:bCs/>
          <w:i/>
          <w:iCs/>
          <w:sz w:val="20"/>
          <w:szCs w:val="20"/>
          <w:lang w:val="en-US"/>
        </w:rPr>
        <w:t xml:space="preserve"> </w:t>
      </w:r>
      <w:r w:rsidRPr="005039C4">
        <w:rPr>
          <w:rFonts w:cs="Calibri"/>
          <w:bCs/>
          <w:sz w:val="20"/>
          <w:szCs w:val="20"/>
          <w:lang w:val="en-US"/>
        </w:rPr>
        <w:t xml:space="preserve">The coagulase test was performed using human plasma (citrated) to differentiate </w:t>
      </w:r>
      <w:r w:rsidRPr="005039C4">
        <w:rPr>
          <w:rFonts w:cs="Calibri"/>
          <w:bCs/>
          <w:i/>
          <w:sz w:val="20"/>
          <w:szCs w:val="20"/>
          <w:lang w:val="en-US"/>
        </w:rPr>
        <w:t>Staphylococcus aureus</w:t>
      </w:r>
      <w:r w:rsidRPr="005039C4">
        <w:rPr>
          <w:rFonts w:cs="Calibri"/>
          <w:bCs/>
          <w:sz w:val="20"/>
          <w:szCs w:val="20"/>
          <w:lang w:val="en-US"/>
        </w:rPr>
        <w:t xml:space="preserve"> from coagulase-negative </w:t>
      </w:r>
      <w:r w:rsidRPr="005039C4">
        <w:rPr>
          <w:rFonts w:cs="Calibri"/>
          <w:bCs/>
          <w:i/>
          <w:iCs/>
          <w:sz w:val="20"/>
          <w:szCs w:val="20"/>
          <w:lang w:val="en-US"/>
        </w:rPr>
        <w:t>Staphylococci</w:t>
      </w:r>
      <w:r w:rsidRPr="005039C4">
        <w:rPr>
          <w:rFonts w:cs="Calibri"/>
          <w:bCs/>
          <w:sz w:val="20"/>
          <w:szCs w:val="20"/>
          <w:lang w:val="en-US"/>
        </w:rPr>
        <w:t xml:space="preserve">. Clot formation following incubation confirmed the isolate as </w:t>
      </w:r>
      <w:r w:rsidRPr="005039C4">
        <w:rPr>
          <w:rFonts w:cs="Calibri"/>
          <w:bCs/>
          <w:i/>
          <w:iCs/>
          <w:sz w:val="20"/>
          <w:szCs w:val="20"/>
          <w:lang w:val="en-US"/>
        </w:rPr>
        <w:t>Staphylococcus</w:t>
      </w:r>
      <w:r w:rsidRPr="005039C4">
        <w:rPr>
          <w:rFonts w:cs="Calibri"/>
          <w:bCs/>
          <w:sz w:val="20"/>
          <w:szCs w:val="20"/>
          <w:lang w:val="en-US"/>
        </w:rPr>
        <w:t xml:space="preserve"> </w:t>
      </w:r>
      <w:r w:rsidRPr="005039C4">
        <w:rPr>
          <w:rFonts w:cs="Calibri"/>
          <w:bCs/>
          <w:i/>
          <w:iCs/>
          <w:sz w:val="20"/>
          <w:szCs w:val="20"/>
          <w:lang w:val="en-US"/>
        </w:rPr>
        <w:t>aureus</w:t>
      </w:r>
      <w:r w:rsidRPr="005039C4">
        <w:rPr>
          <w:rFonts w:cs="Calibri"/>
          <w:bCs/>
          <w:sz w:val="20"/>
          <w:szCs w:val="20"/>
          <w:lang w:val="en-US"/>
        </w:rPr>
        <w:t xml:space="preserve"> (Song </w:t>
      </w:r>
      <w:r w:rsidRPr="005039C4">
        <w:rPr>
          <w:rFonts w:cs="Calibri"/>
          <w:bCs/>
          <w:i/>
          <w:iCs/>
          <w:sz w:val="20"/>
          <w:szCs w:val="20"/>
          <w:lang w:val="en-US"/>
        </w:rPr>
        <w:t>et al.,</w:t>
      </w:r>
      <w:r w:rsidRPr="005039C4">
        <w:rPr>
          <w:rFonts w:cs="Calibri"/>
          <w:bCs/>
          <w:sz w:val="20"/>
          <w:szCs w:val="20"/>
          <w:lang w:val="en-US"/>
        </w:rPr>
        <w:t xml:space="preserve"> 2025).</w:t>
      </w:r>
    </w:p>
    <w:p w14:paraId="5236B2F6" w14:textId="77777777" w:rsidR="005039C4" w:rsidRPr="005039C4" w:rsidRDefault="005039C4" w:rsidP="005039C4">
      <w:pPr>
        <w:spacing w:after="0" w:line="240" w:lineRule="auto"/>
        <w:jc w:val="both"/>
        <w:rPr>
          <w:rFonts w:cs="Calibri"/>
          <w:bCs/>
          <w:sz w:val="20"/>
          <w:szCs w:val="20"/>
          <w:lang w:val="en-US"/>
        </w:rPr>
      </w:pPr>
      <w:r w:rsidRPr="005039C4">
        <w:rPr>
          <w:rFonts w:cs="Calibri"/>
          <w:b/>
          <w:bCs/>
          <w:sz w:val="20"/>
          <w:szCs w:val="20"/>
          <w:lang w:val="en-US"/>
        </w:rPr>
        <w:t>Antimicrobial Susceptibility Testing (Agar Well Diffusion):</w:t>
      </w:r>
      <w:r w:rsidRPr="005039C4">
        <w:rPr>
          <w:rFonts w:cs="Calibri"/>
          <w:bCs/>
          <w:sz w:val="20"/>
          <w:szCs w:val="20"/>
          <w:lang w:val="en-US"/>
        </w:rPr>
        <w:t xml:space="preserve"> The antimicrobial activity of the leaf extracts against confirmed MRSA isolates were evaluated using the agar well diffusion method. </w:t>
      </w:r>
      <w:proofErr w:type="spellStart"/>
      <w:r w:rsidRPr="005039C4">
        <w:rPr>
          <w:rFonts w:cs="Calibri"/>
          <w:bCs/>
          <w:sz w:val="20"/>
          <w:szCs w:val="20"/>
          <w:lang w:val="en-US"/>
        </w:rPr>
        <w:t>Mŭeller</w:t>
      </w:r>
      <w:proofErr w:type="spellEnd"/>
      <w:r w:rsidRPr="005039C4">
        <w:rPr>
          <w:rFonts w:cs="Calibri"/>
          <w:bCs/>
          <w:sz w:val="20"/>
          <w:szCs w:val="20"/>
          <w:lang w:val="en-US"/>
        </w:rPr>
        <w:t>-Hinton agar (MHA) plates was prepared and inoculated with bacterial suspensions adjusted to 0.5 McFarland standard (~1.5 × 10</w:t>
      </w:r>
      <w:r w:rsidRPr="005039C4">
        <w:rPr>
          <w:rFonts w:cs="Calibri"/>
          <w:bCs/>
          <w:sz w:val="20"/>
          <w:szCs w:val="20"/>
          <w:vertAlign w:val="superscript"/>
          <w:lang w:val="en-US"/>
        </w:rPr>
        <w:t>8</w:t>
      </w:r>
      <w:r w:rsidRPr="005039C4">
        <w:rPr>
          <w:rFonts w:cs="Calibri"/>
          <w:bCs/>
          <w:sz w:val="20"/>
          <w:szCs w:val="20"/>
          <w:lang w:val="en-US"/>
        </w:rPr>
        <w:t xml:space="preserve"> CFU/mL) to achieve a confluent lawn (CLSI, 2023). Using a sterile cotton swab, the standardized inoculum was evenly spread on the agar surface and allowed to dry for 3–5 minutes. Wells were bored on the agar using a sterile cork borer. Each well was filled with 50 µL of the mango leaf extract at different concentrations (25, 50, 100 and 200 mg/mL). Plates were incubated at 37 °C for 24 hours. After incubation, inhibition zones around the wells were measured in millimeters using a ruler. The presence and size of inhibition zones was recorded and compared across concentrations (CLSI, 2023; </w:t>
      </w:r>
      <w:proofErr w:type="spellStart"/>
      <w:r w:rsidRPr="005039C4">
        <w:rPr>
          <w:rFonts w:cs="Calibri"/>
          <w:bCs/>
          <w:sz w:val="20"/>
          <w:szCs w:val="20"/>
          <w:lang w:val="en-US"/>
        </w:rPr>
        <w:t>Balouiri</w:t>
      </w:r>
      <w:proofErr w:type="spellEnd"/>
      <w:r w:rsidRPr="005039C4">
        <w:rPr>
          <w:rFonts w:cs="Calibri"/>
          <w:bCs/>
          <w:sz w:val="20"/>
          <w:szCs w:val="20"/>
          <w:lang w:val="en-US"/>
        </w:rPr>
        <w:t xml:space="preserve"> </w:t>
      </w:r>
      <w:r w:rsidRPr="005039C4">
        <w:rPr>
          <w:rFonts w:cs="Calibri"/>
          <w:bCs/>
          <w:i/>
          <w:iCs/>
          <w:sz w:val="20"/>
          <w:szCs w:val="20"/>
          <w:lang w:val="en-US"/>
        </w:rPr>
        <w:t>et al.,</w:t>
      </w:r>
      <w:r w:rsidRPr="005039C4">
        <w:rPr>
          <w:rFonts w:cs="Calibri"/>
          <w:bCs/>
          <w:sz w:val="20"/>
          <w:szCs w:val="20"/>
          <w:lang w:val="en-US"/>
        </w:rPr>
        <w:t xml:space="preserve"> 2024). </w:t>
      </w:r>
    </w:p>
    <w:p w14:paraId="177C634F" w14:textId="77777777" w:rsidR="005039C4" w:rsidRPr="005039C4" w:rsidRDefault="005039C4" w:rsidP="005039C4">
      <w:pPr>
        <w:spacing w:after="0" w:line="240" w:lineRule="auto"/>
        <w:jc w:val="both"/>
        <w:rPr>
          <w:rFonts w:cs="Calibri"/>
          <w:bCs/>
          <w:sz w:val="20"/>
          <w:szCs w:val="20"/>
          <w:lang w:val="en-US"/>
        </w:rPr>
      </w:pPr>
      <w:r w:rsidRPr="005039C4">
        <w:rPr>
          <w:rFonts w:cs="Calibri"/>
          <w:b/>
          <w:bCs/>
          <w:sz w:val="20"/>
          <w:szCs w:val="20"/>
          <w:lang w:val="en-US"/>
        </w:rPr>
        <w:t>Determination of Minimum Inhibitory Concentration (MIC):</w:t>
      </w:r>
      <w:r w:rsidRPr="005039C4">
        <w:rPr>
          <w:rFonts w:cs="Calibri"/>
          <w:bCs/>
          <w:sz w:val="20"/>
          <w:szCs w:val="20"/>
          <w:lang w:val="en-US"/>
        </w:rPr>
        <w:t xml:space="preserve"> MIC was determined using broth dilution method. Nutrient broth tubes containing different extract concentrations was </w:t>
      </w:r>
      <w:r w:rsidRPr="005039C4">
        <w:rPr>
          <w:rFonts w:cs="Calibri"/>
          <w:bCs/>
          <w:sz w:val="20"/>
          <w:szCs w:val="20"/>
          <w:lang w:val="en-US"/>
        </w:rPr>
        <w:lastRenderedPageBreak/>
        <w:t>inoculated with MRSA and incubated at 37°C for 24 hours. The lowest concentration without visible turbidity was recorded as MIC (Cowan, 1999).</w:t>
      </w:r>
    </w:p>
    <w:p w14:paraId="19FA7C4F" w14:textId="03D16657" w:rsidR="005039C4" w:rsidRPr="005039C4" w:rsidRDefault="005039C4" w:rsidP="005039C4">
      <w:pPr>
        <w:spacing w:after="0" w:line="240" w:lineRule="auto"/>
        <w:jc w:val="both"/>
        <w:rPr>
          <w:rFonts w:cs="Calibri"/>
          <w:bCs/>
          <w:sz w:val="20"/>
          <w:szCs w:val="20"/>
          <w:lang w:val="en-US"/>
        </w:rPr>
      </w:pPr>
      <w:r w:rsidRPr="005039C4">
        <w:rPr>
          <w:rFonts w:cs="Calibri"/>
          <w:b/>
          <w:bCs/>
          <w:sz w:val="20"/>
          <w:szCs w:val="20"/>
          <w:lang w:val="en-US"/>
        </w:rPr>
        <w:t>Determination of Minimum Bactericidal Concentration (MBC):</w:t>
      </w:r>
      <w:r w:rsidRPr="005039C4">
        <w:rPr>
          <w:rFonts w:cs="Calibri"/>
          <w:bCs/>
          <w:sz w:val="20"/>
          <w:szCs w:val="20"/>
          <w:lang w:val="en-US"/>
        </w:rPr>
        <w:t xml:space="preserve"> For MBC determination, aliquots were aseptically taken from tubes showing no visible growth and spread onto fresh </w:t>
      </w:r>
      <w:proofErr w:type="spellStart"/>
      <w:r w:rsidRPr="005039C4">
        <w:rPr>
          <w:rFonts w:cs="Calibri"/>
          <w:bCs/>
          <w:sz w:val="20"/>
          <w:szCs w:val="20"/>
          <w:lang w:val="en-US"/>
        </w:rPr>
        <w:t>Mŭeller</w:t>
      </w:r>
      <w:proofErr w:type="spellEnd"/>
      <w:r w:rsidRPr="005039C4">
        <w:rPr>
          <w:rFonts w:cs="Calibri"/>
          <w:bCs/>
          <w:sz w:val="20"/>
          <w:szCs w:val="20"/>
          <w:lang w:val="en-US"/>
        </w:rPr>
        <w:t xml:space="preserve"> -Hinton agar plates. The plates were incubated at 37°C for 24 hours. The MBC was defined as the lowest concentration of the ext</w:t>
      </w:r>
      <w:r>
        <w:rPr>
          <w:rFonts w:cs="Calibri"/>
          <w:bCs/>
          <w:sz w:val="20"/>
          <w:szCs w:val="20"/>
          <w:lang w:val="en-US"/>
        </w:rPr>
        <w:t>ract that</w:t>
      </w:r>
      <w:r w:rsidRPr="005039C4">
        <w:rPr>
          <w:rFonts w:cs="Calibri"/>
          <w:bCs/>
          <w:sz w:val="20"/>
          <w:szCs w:val="20"/>
          <w:lang w:val="en-US"/>
        </w:rPr>
        <w:t xml:space="preserve"> had no visible colony growth, indicating 99.9% bacterial killing (</w:t>
      </w:r>
      <w:proofErr w:type="spellStart"/>
      <w:r w:rsidRPr="005039C4">
        <w:rPr>
          <w:rFonts w:cs="Calibri"/>
          <w:bCs/>
          <w:sz w:val="20"/>
          <w:szCs w:val="20"/>
          <w:lang w:val="en-US"/>
        </w:rPr>
        <w:t>Pankey</w:t>
      </w:r>
      <w:proofErr w:type="spellEnd"/>
      <w:r w:rsidRPr="005039C4">
        <w:rPr>
          <w:rFonts w:cs="Calibri"/>
          <w:bCs/>
          <w:sz w:val="20"/>
          <w:szCs w:val="20"/>
          <w:lang w:val="en-US"/>
        </w:rPr>
        <w:t xml:space="preserve"> and </w:t>
      </w:r>
      <w:proofErr w:type="spellStart"/>
      <w:r w:rsidRPr="005039C4">
        <w:rPr>
          <w:rFonts w:cs="Calibri"/>
          <w:bCs/>
          <w:sz w:val="20"/>
          <w:szCs w:val="20"/>
          <w:lang w:val="en-US"/>
        </w:rPr>
        <w:t>Sabath</w:t>
      </w:r>
      <w:proofErr w:type="spellEnd"/>
      <w:r w:rsidRPr="005039C4">
        <w:rPr>
          <w:rFonts w:cs="Calibri"/>
          <w:bCs/>
          <w:sz w:val="20"/>
          <w:szCs w:val="20"/>
          <w:lang w:val="en-US"/>
        </w:rPr>
        <w:t xml:space="preserve">, 2024). </w:t>
      </w:r>
    </w:p>
    <w:p w14:paraId="397F956D" w14:textId="77777777" w:rsidR="005039C4" w:rsidRPr="005039C4" w:rsidRDefault="005039C4" w:rsidP="005039C4">
      <w:pPr>
        <w:spacing w:after="0" w:line="240" w:lineRule="auto"/>
        <w:jc w:val="both"/>
        <w:rPr>
          <w:rFonts w:cs="Calibri"/>
          <w:bCs/>
          <w:sz w:val="20"/>
          <w:szCs w:val="20"/>
          <w:lang w:val="en-US"/>
        </w:rPr>
      </w:pPr>
      <w:r w:rsidRPr="005039C4">
        <w:rPr>
          <w:rFonts w:cs="Calibri"/>
          <w:b/>
          <w:bCs/>
          <w:sz w:val="20"/>
          <w:szCs w:val="20"/>
          <w:lang w:val="en-US"/>
        </w:rPr>
        <w:t>Data Analysis:</w:t>
      </w:r>
      <w:r w:rsidRPr="005039C4">
        <w:rPr>
          <w:rFonts w:cs="Calibri"/>
          <w:bCs/>
          <w:sz w:val="20"/>
          <w:szCs w:val="20"/>
          <w:lang w:val="en-US"/>
        </w:rPr>
        <w:t xml:space="preserve"> All experiments were performed in triplicate. Data was analyzed statistically using ANOVA with results expressed as mean ± standard deviation. A p-value of less than 0.05 was considered statistically significant (Gad, 2020; </w:t>
      </w:r>
      <w:proofErr w:type="spellStart"/>
      <w:r w:rsidRPr="005039C4">
        <w:rPr>
          <w:rFonts w:cs="Calibri"/>
          <w:bCs/>
          <w:sz w:val="20"/>
          <w:szCs w:val="20"/>
          <w:lang w:val="en-US"/>
        </w:rPr>
        <w:t>Motulsky</w:t>
      </w:r>
      <w:proofErr w:type="spellEnd"/>
      <w:r w:rsidRPr="005039C4">
        <w:rPr>
          <w:rFonts w:cs="Calibri"/>
          <w:bCs/>
          <w:sz w:val="20"/>
          <w:szCs w:val="20"/>
          <w:lang w:val="en-US"/>
        </w:rPr>
        <w:t>, 2024).</w:t>
      </w:r>
    </w:p>
    <w:p w14:paraId="6E944F4F" w14:textId="77777777" w:rsidR="005039C4" w:rsidRPr="005039C4" w:rsidRDefault="005039C4" w:rsidP="005039C4">
      <w:pPr>
        <w:spacing w:before="120" w:after="0" w:line="240" w:lineRule="auto"/>
        <w:jc w:val="both"/>
        <w:rPr>
          <w:rFonts w:cs="Calibri"/>
          <w:b/>
          <w:bCs/>
          <w:szCs w:val="20"/>
          <w:lang w:val="en-US"/>
        </w:rPr>
      </w:pPr>
      <w:r w:rsidRPr="005039C4">
        <w:rPr>
          <w:rFonts w:cs="Calibri"/>
          <w:b/>
          <w:bCs/>
          <w:szCs w:val="20"/>
          <w:lang w:val="en-US"/>
        </w:rPr>
        <w:t>RESULTS</w:t>
      </w:r>
    </w:p>
    <w:p w14:paraId="1B09841A" w14:textId="77777777" w:rsidR="00FC1892" w:rsidRDefault="005039C4" w:rsidP="005039C4">
      <w:pPr>
        <w:spacing w:after="0" w:line="240" w:lineRule="auto"/>
        <w:jc w:val="both"/>
        <w:rPr>
          <w:rFonts w:cs="Calibri"/>
          <w:bCs/>
          <w:sz w:val="20"/>
          <w:szCs w:val="20"/>
        </w:rPr>
      </w:pPr>
      <w:r w:rsidRPr="005039C4">
        <w:rPr>
          <w:rFonts w:cs="Calibri"/>
          <w:bCs/>
          <w:sz w:val="20"/>
          <w:szCs w:val="20"/>
          <w:lang w:val="en-US"/>
        </w:rPr>
        <w:t xml:space="preserve">Table 1 shows the phytochemical composition of </w:t>
      </w:r>
      <w:proofErr w:type="spellStart"/>
      <w:r w:rsidRPr="005039C4">
        <w:rPr>
          <w:rFonts w:cs="Calibri"/>
          <w:bCs/>
          <w:i/>
          <w:iCs/>
          <w:sz w:val="20"/>
          <w:szCs w:val="20"/>
          <w:lang w:val="en-US"/>
        </w:rPr>
        <w:t>Mangifera</w:t>
      </w:r>
      <w:proofErr w:type="spellEnd"/>
      <w:r w:rsidRPr="005039C4">
        <w:rPr>
          <w:rFonts w:cs="Calibri"/>
          <w:bCs/>
          <w:i/>
          <w:iCs/>
          <w:sz w:val="20"/>
          <w:szCs w:val="20"/>
          <w:lang w:val="en-US"/>
        </w:rPr>
        <w:t xml:space="preserve"> indica</w:t>
      </w:r>
      <w:r w:rsidRPr="005039C4">
        <w:rPr>
          <w:rFonts w:cs="Calibri"/>
          <w:bCs/>
          <w:sz w:val="20"/>
          <w:szCs w:val="20"/>
          <w:lang w:val="en-US"/>
        </w:rPr>
        <w:t xml:space="preserve"> leaves extracts using ethanol and water as solvents. The ethanolic extract tested positive for alkaloids, tannins, </w:t>
      </w:r>
      <w:proofErr w:type="spellStart"/>
      <w:r w:rsidRPr="005039C4">
        <w:rPr>
          <w:rFonts w:cs="Calibri"/>
          <w:bCs/>
          <w:sz w:val="20"/>
          <w:szCs w:val="20"/>
          <w:lang w:val="en-US"/>
        </w:rPr>
        <w:t>saponins</w:t>
      </w:r>
      <w:proofErr w:type="spellEnd"/>
      <w:r w:rsidRPr="005039C4">
        <w:rPr>
          <w:rFonts w:cs="Calibri"/>
          <w:bCs/>
          <w:sz w:val="20"/>
          <w:szCs w:val="20"/>
          <w:lang w:val="en-US"/>
        </w:rPr>
        <w:t xml:space="preserve">, phenols, </w:t>
      </w:r>
      <w:proofErr w:type="spellStart"/>
      <w:r w:rsidRPr="005039C4">
        <w:rPr>
          <w:rFonts w:cs="Calibri"/>
          <w:bCs/>
          <w:sz w:val="20"/>
          <w:szCs w:val="20"/>
          <w:lang w:val="en-US"/>
        </w:rPr>
        <w:t>quinones</w:t>
      </w:r>
      <w:proofErr w:type="spellEnd"/>
      <w:r w:rsidRPr="005039C4">
        <w:rPr>
          <w:rFonts w:cs="Calibri"/>
          <w:bCs/>
          <w:sz w:val="20"/>
          <w:szCs w:val="20"/>
          <w:lang w:val="en-US"/>
        </w:rPr>
        <w:t xml:space="preserve">, and </w:t>
      </w:r>
      <w:proofErr w:type="spellStart"/>
      <w:r w:rsidRPr="005039C4">
        <w:rPr>
          <w:rFonts w:cs="Calibri"/>
          <w:bCs/>
          <w:sz w:val="20"/>
          <w:szCs w:val="20"/>
          <w:lang w:val="en-US"/>
        </w:rPr>
        <w:t>phytosteroids</w:t>
      </w:r>
      <w:proofErr w:type="spellEnd"/>
      <w:r w:rsidRPr="005039C4">
        <w:rPr>
          <w:rFonts w:cs="Calibri"/>
          <w:bCs/>
          <w:sz w:val="20"/>
          <w:szCs w:val="20"/>
          <w:lang w:val="en-US"/>
        </w:rPr>
        <w:t xml:space="preserve">, while glycosides, </w:t>
      </w:r>
      <w:proofErr w:type="spellStart"/>
      <w:r w:rsidRPr="005039C4">
        <w:rPr>
          <w:rFonts w:cs="Calibri"/>
          <w:bCs/>
          <w:sz w:val="20"/>
          <w:szCs w:val="20"/>
          <w:lang w:val="en-US"/>
        </w:rPr>
        <w:t>terpenoids</w:t>
      </w:r>
      <w:proofErr w:type="spellEnd"/>
      <w:r w:rsidRPr="005039C4">
        <w:rPr>
          <w:rFonts w:cs="Calibri"/>
          <w:bCs/>
          <w:sz w:val="20"/>
          <w:szCs w:val="20"/>
          <w:lang w:val="en-US"/>
        </w:rPr>
        <w:t xml:space="preserve">, and steroids were absent. In contrast, the aqueous extract contained tannins, </w:t>
      </w:r>
      <w:proofErr w:type="spellStart"/>
      <w:r w:rsidRPr="005039C4">
        <w:rPr>
          <w:rFonts w:cs="Calibri"/>
          <w:bCs/>
          <w:sz w:val="20"/>
          <w:szCs w:val="20"/>
          <w:lang w:val="en-US"/>
        </w:rPr>
        <w:t>saponins</w:t>
      </w:r>
      <w:proofErr w:type="spellEnd"/>
      <w:r w:rsidRPr="005039C4">
        <w:rPr>
          <w:rFonts w:cs="Calibri"/>
          <w:bCs/>
          <w:sz w:val="20"/>
          <w:szCs w:val="20"/>
          <w:lang w:val="en-US"/>
        </w:rPr>
        <w:t xml:space="preserve">, phenols, </w:t>
      </w:r>
      <w:proofErr w:type="spellStart"/>
      <w:r w:rsidRPr="005039C4">
        <w:rPr>
          <w:rFonts w:cs="Calibri"/>
          <w:bCs/>
          <w:sz w:val="20"/>
          <w:szCs w:val="20"/>
          <w:lang w:val="en-US"/>
        </w:rPr>
        <w:t>terpenoids</w:t>
      </w:r>
      <w:proofErr w:type="spellEnd"/>
      <w:r w:rsidRPr="005039C4">
        <w:rPr>
          <w:rFonts w:cs="Calibri"/>
          <w:bCs/>
          <w:sz w:val="20"/>
          <w:szCs w:val="20"/>
          <w:lang w:val="en-US"/>
        </w:rPr>
        <w:t xml:space="preserve">, steroids, and </w:t>
      </w:r>
      <w:proofErr w:type="spellStart"/>
      <w:r w:rsidRPr="005039C4">
        <w:rPr>
          <w:rFonts w:cs="Calibri"/>
          <w:bCs/>
          <w:sz w:val="20"/>
          <w:szCs w:val="20"/>
          <w:lang w:val="en-US"/>
        </w:rPr>
        <w:t>quinones</w:t>
      </w:r>
      <w:proofErr w:type="spellEnd"/>
      <w:r w:rsidRPr="005039C4">
        <w:rPr>
          <w:rFonts w:cs="Calibri"/>
          <w:bCs/>
          <w:sz w:val="20"/>
          <w:szCs w:val="20"/>
          <w:lang w:val="en-US"/>
        </w:rPr>
        <w:t xml:space="preserve">, but alkaloids, glycosides, and </w:t>
      </w:r>
      <w:proofErr w:type="spellStart"/>
      <w:r w:rsidRPr="005039C4">
        <w:rPr>
          <w:rFonts w:cs="Calibri"/>
          <w:bCs/>
          <w:sz w:val="20"/>
          <w:szCs w:val="20"/>
          <w:lang w:val="en-US"/>
        </w:rPr>
        <w:t>phytosteroids</w:t>
      </w:r>
      <w:proofErr w:type="spellEnd"/>
      <w:r w:rsidRPr="005039C4">
        <w:rPr>
          <w:rFonts w:cs="Calibri"/>
          <w:bCs/>
          <w:sz w:val="20"/>
          <w:szCs w:val="20"/>
          <w:lang w:val="en-US"/>
        </w:rPr>
        <w:t xml:space="preserve"> were not detected</w:t>
      </w:r>
      <w:r w:rsidR="00DE29CB">
        <w:rPr>
          <w:rFonts w:cs="Calibri"/>
          <w:bCs/>
          <w:sz w:val="20"/>
          <w:szCs w:val="20"/>
        </w:rPr>
        <w:t>.</w:t>
      </w:r>
    </w:p>
    <w:p w14:paraId="77A1FD29" w14:textId="0EFAA399" w:rsidR="00FC1892" w:rsidRDefault="00FC1892" w:rsidP="005039C4">
      <w:pPr>
        <w:spacing w:after="0" w:line="240" w:lineRule="auto"/>
        <w:jc w:val="both"/>
        <w:rPr>
          <w:rFonts w:cs="Calibri"/>
          <w:bCs/>
          <w:sz w:val="20"/>
          <w:szCs w:val="20"/>
          <w:lang w:val="en-US"/>
        </w:rPr>
      </w:pPr>
      <w:r w:rsidRPr="00FC1892">
        <w:rPr>
          <w:rFonts w:cs="Calibri"/>
          <w:bCs/>
          <w:sz w:val="20"/>
          <w:szCs w:val="20"/>
          <w:lang w:val="en-US"/>
        </w:rPr>
        <w:t xml:space="preserve">Table 2 shows the biochemical characterization of bacterial isolate from the study. </w:t>
      </w:r>
      <w:r w:rsidRPr="00FC1892">
        <w:rPr>
          <w:rFonts w:cs="Calibri"/>
          <w:bCs/>
          <w:i/>
          <w:sz w:val="20"/>
          <w:szCs w:val="20"/>
          <w:lang w:val="en-US"/>
        </w:rPr>
        <w:t xml:space="preserve">Staphylococcus </w:t>
      </w:r>
      <w:r w:rsidRPr="00FC1892">
        <w:rPr>
          <w:rFonts w:cs="Calibri"/>
          <w:bCs/>
          <w:i/>
          <w:sz w:val="20"/>
          <w:szCs w:val="20"/>
          <w:lang w:val="en-US"/>
        </w:rPr>
        <w:lastRenderedPageBreak/>
        <w:t>aureus</w:t>
      </w:r>
      <w:r w:rsidRPr="00FC1892">
        <w:rPr>
          <w:rFonts w:cs="Calibri"/>
          <w:bCs/>
          <w:sz w:val="20"/>
          <w:szCs w:val="20"/>
          <w:lang w:val="en-US"/>
        </w:rPr>
        <w:t xml:space="preserve"> was identified as Gram-positive </w:t>
      </w:r>
      <w:proofErr w:type="spellStart"/>
      <w:r w:rsidRPr="00FC1892">
        <w:rPr>
          <w:rFonts w:cs="Calibri"/>
          <w:bCs/>
          <w:sz w:val="20"/>
          <w:szCs w:val="20"/>
          <w:lang w:val="en-US"/>
        </w:rPr>
        <w:t>cocci</w:t>
      </w:r>
      <w:proofErr w:type="spellEnd"/>
      <w:r w:rsidRPr="00FC1892">
        <w:rPr>
          <w:rFonts w:cs="Calibri"/>
          <w:bCs/>
          <w:sz w:val="20"/>
          <w:szCs w:val="20"/>
          <w:lang w:val="en-US"/>
        </w:rPr>
        <w:t xml:space="preserve">, catalase- and coagulase-positive and citrate utilization but negative for </w:t>
      </w:r>
      <w:proofErr w:type="spellStart"/>
      <w:r w:rsidRPr="00FC1892">
        <w:rPr>
          <w:rFonts w:cs="Calibri"/>
          <w:bCs/>
          <w:sz w:val="20"/>
          <w:szCs w:val="20"/>
          <w:lang w:val="en-US"/>
        </w:rPr>
        <w:t>indole</w:t>
      </w:r>
      <w:proofErr w:type="spellEnd"/>
      <w:r w:rsidRPr="00FC1892">
        <w:rPr>
          <w:rFonts w:cs="Calibri"/>
          <w:bCs/>
          <w:sz w:val="20"/>
          <w:szCs w:val="20"/>
          <w:lang w:val="en-US"/>
        </w:rPr>
        <w:t>.</w:t>
      </w:r>
    </w:p>
    <w:p w14:paraId="42E77510" w14:textId="65F02812" w:rsidR="00170798" w:rsidRDefault="00170798" w:rsidP="005039C4">
      <w:pPr>
        <w:spacing w:after="0" w:line="240" w:lineRule="auto"/>
        <w:jc w:val="both"/>
        <w:rPr>
          <w:rFonts w:cs="Calibri"/>
          <w:bCs/>
          <w:sz w:val="20"/>
          <w:szCs w:val="20"/>
          <w:lang w:val="en-US"/>
        </w:rPr>
      </w:pPr>
      <w:r w:rsidRPr="00FC1892">
        <w:rPr>
          <w:rFonts w:cs="Calibri"/>
          <w:bCs/>
          <w:sz w:val="20"/>
          <w:szCs w:val="20"/>
          <w:lang w:val="en-US"/>
        </w:rPr>
        <w:t xml:space="preserve">Table 3 presents the antibacterial activity of aqueous and ethanolic extracts of </w:t>
      </w:r>
      <w:proofErr w:type="spellStart"/>
      <w:r w:rsidRPr="00FC1892">
        <w:rPr>
          <w:rFonts w:cs="Calibri"/>
          <w:bCs/>
          <w:i/>
          <w:sz w:val="20"/>
          <w:szCs w:val="20"/>
          <w:lang w:val="en-US"/>
        </w:rPr>
        <w:t>Mangifera</w:t>
      </w:r>
      <w:proofErr w:type="spellEnd"/>
      <w:r w:rsidRPr="00FC1892">
        <w:rPr>
          <w:rFonts w:cs="Calibri"/>
          <w:bCs/>
          <w:i/>
          <w:sz w:val="20"/>
          <w:szCs w:val="20"/>
          <w:lang w:val="en-US"/>
        </w:rPr>
        <w:t xml:space="preserve"> indica</w:t>
      </w:r>
      <w:r w:rsidRPr="00FC1892">
        <w:rPr>
          <w:rFonts w:cs="Calibri"/>
          <w:bCs/>
          <w:sz w:val="20"/>
          <w:szCs w:val="20"/>
          <w:lang w:val="en-US"/>
        </w:rPr>
        <w:t xml:space="preserve"> leaves against </w:t>
      </w:r>
      <w:r w:rsidRPr="00FC1892">
        <w:rPr>
          <w:rFonts w:cs="Calibri"/>
          <w:bCs/>
          <w:i/>
          <w:sz w:val="20"/>
          <w:szCs w:val="20"/>
          <w:lang w:val="en-US"/>
        </w:rPr>
        <w:t>Staphylococcus</w:t>
      </w:r>
      <w:r w:rsidRPr="00FC1892">
        <w:rPr>
          <w:rFonts w:cs="Calibri"/>
          <w:bCs/>
          <w:sz w:val="20"/>
          <w:szCs w:val="20"/>
          <w:lang w:val="en-US"/>
        </w:rPr>
        <w:t xml:space="preserve"> </w:t>
      </w:r>
      <w:r w:rsidRPr="00FC1892">
        <w:rPr>
          <w:rFonts w:cs="Calibri"/>
          <w:bCs/>
          <w:i/>
          <w:sz w:val="20"/>
          <w:szCs w:val="20"/>
          <w:lang w:val="en-US"/>
        </w:rPr>
        <w:t>aureus</w:t>
      </w:r>
      <w:r w:rsidRPr="00FC1892">
        <w:rPr>
          <w:rFonts w:cs="Calibri"/>
          <w:bCs/>
          <w:sz w:val="20"/>
          <w:szCs w:val="20"/>
          <w:lang w:val="en-US"/>
        </w:rPr>
        <w:t xml:space="preserve"> at different concentrations (200, 100, 50, and 25 mg/mL), compared with ciprofloxacin (100 mg/mL) as the positive control and DMSO as the negative control. The ethanolic extract exhibited concentration-dependent antibacterial activity, with zones of inhibition decreasing from 24.5 ± 0.5 mm at 200 mg/mL to 7.0 ± 0.5 mm at 25 mg/</w:t>
      </w:r>
      <w:proofErr w:type="spellStart"/>
      <w:r w:rsidRPr="00FC1892">
        <w:rPr>
          <w:rFonts w:cs="Calibri"/>
          <w:bCs/>
          <w:sz w:val="20"/>
          <w:szCs w:val="20"/>
          <w:lang w:val="en-US"/>
        </w:rPr>
        <w:t>mL.</w:t>
      </w:r>
      <w:proofErr w:type="spellEnd"/>
      <w:r w:rsidRPr="00FC1892">
        <w:rPr>
          <w:rFonts w:cs="Calibri"/>
          <w:bCs/>
          <w:sz w:val="20"/>
          <w:szCs w:val="20"/>
          <w:lang w:val="en-US"/>
        </w:rPr>
        <w:t xml:space="preserve"> Similarly, the aqueous extract showed lower antibacterial activity than the ethanolic extract, with inhibition zones ranging from 18.0 ± 0.5 mm at 200 mg/mL to 5.0 ± 0.5 mm at 25 mg/</w:t>
      </w:r>
      <w:proofErr w:type="spellStart"/>
      <w:r w:rsidRPr="00FC1892">
        <w:rPr>
          <w:rFonts w:cs="Calibri"/>
          <w:bCs/>
          <w:sz w:val="20"/>
          <w:szCs w:val="20"/>
          <w:lang w:val="en-US"/>
        </w:rPr>
        <w:t>mL.</w:t>
      </w:r>
      <w:proofErr w:type="spellEnd"/>
      <w:r w:rsidRPr="00FC1892">
        <w:rPr>
          <w:rFonts w:cs="Calibri"/>
          <w:bCs/>
          <w:sz w:val="20"/>
          <w:szCs w:val="20"/>
          <w:lang w:val="en-US"/>
        </w:rPr>
        <w:t xml:space="preserve"> The standard antibiotic, ciprofloxacin (100 mg/mL), produced the largest inhibition zone (45.0 mm), while DMSO showed no antibacterial activity (0.00 mm)</w:t>
      </w:r>
      <w:r w:rsidR="00EE09AE">
        <w:rPr>
          <w:rFonts w:cs="Calibri"/>
          <w:bCs/>
          <w:sz w:val="20"/>
          <w:szCs w:val="20"/>
          <w:lang w:val="en-US"/>
        </w:rPr>
        <w:t>.</w:t>
      </w:r>
    </w:p>
    <w:p w14:paraId="1A19AC35" w14:textId="6EC7AB1F" w:rsidR="00EE09AE" w:rsidRPr="00FC1892" w:rsidRDefault="00EE09AE" w:rsidP="005039C4">
      <w:pPr>
        <w:spacing w:after="0" w:line="240" w:lineRule="auto"/>
        <w:jc w:val="both"/>
        <w:rPr>
          <w:rFonts w:cs="Calibri"/>
          <w:bCs/>
          <w:sz w:val="20"/>
          <w:szCs w:val="20"/>
          <w:lang w:val="en-US"/>
        </w:rPr>
        <w:sectPr w:rsidR="00EE09AE" w:rsidRPr="00FC1892" w:rsidSect="00C5538C">
          <w:type w:val="continuous"/>
          <w:pgSz w:w="12240" w:h="15840"/>
          <w:pgMar w:top="1440" w:right="1440" w:bottom="1440" w:left="1440" w:header="720" w:footer="720" w:gutter="0"/>
          <w:cols w:num="2" w:space="720"/>
          <w:docGrid w:linePitch="360"/>
        </w:sectPr>
      </w:pPr>
      <w:r w:rsidRPr="00FC1892">
        <w:rPr>
          <w:rFonts w:cs="Calibri"/>
          <w:bCs/>
          <w:sz w:val="20"/>
          <w:szCs w:val="20"/>
          <w:lang w:val="en-US"/>
        </w:rPr>
        <w:t xml:space="preserve">Table 4 shows the minimum inhibitory concentration (MIC) and minimum bactericidal concentration (MBC) of aqueous and ethanolic extracts of </w:t>
      </w:r>
      <w:proofErr w:type="spellStart"/>
      <w:r w:rsidRPr="00FC1892">
        <w:rPr>
          <w:rFonts w:cs="Calibri"/>
          <w:bCs/>
          <w:i/>
          <w:sz w:val="20"/>
          <w:szCs w:val="20"/>
          <w:lang w:val="en-US"/>
        </w:rPr>
        <w:t>Mangifera</w:t>
      </w:r>
      <w:proofErr w:type="spellEnd"/>
      <w:r w:rsidRPr="00FC1892">
        <w:rPr>
          <w:rFonts w:cs="Calibri"/>
          <w:bCs/>
          <w:i/>
          <w:sz w:val="20"/>
          <w:szCs w:val="20"/>
          <w:lang w:val="en-US"/>
        </w:rPr>
        <w:t xml:space="preserve"> indica</w:t>
      </w:r>
      <w:r w:rsidRPr="00FC1892">
        <w:rPr>
          <w:rFonts w:cs="Calibri"/>
          <w:bCs/>
          <w:sz w:val="20"/>
          <w:szCs w:val="20"/>
          <w:lang w:val="en-US"/>
        </w:rPr>
        <w:t xml:space="preserve"> leaves against </w:t>
      </w:r>
      <w:r w:rsidRPr="00FC1892">
        <w:rPr>
          <w:rFonts w:cs="Calibri"/>
          <w:bCs/>
          <w:i/>
          <w:sz w:val="20"/>
          <w:szCs w:val="20"/>
          <w:lang w:val="en-US"/>
        </w:rPr>
        <w:t>Staphylococcus aureus</w:t>
      </w:r>
      <w:r w:rsidRPr="00FC1892">
        <w:rPr>
          <w:rFonts w:cs="Calibri"/>
          <w:bCs/>
          <w:sz w:val="20"/>
          <w:szCs w:val="20"/>
          <w:lang w:val="en-US"/>
        </w:rPr>
        <w:t xml:space="preserve">. Both extracts exhibited the same inhibitory and bactericidal activity, with an MIC of 50 mg/mL and an MBC of 100 mg/mL for </w:t>
      </w:r>
      <w:r w:rsidRPr="00FC1892">
        <w:rPr>
          <w:rFonts w:cs="Calibri"/>
          <w:bCs/>
          <w:i/>
          <w:sz w:val="20"/>
          <w:szCs w:val="20"/>
          <w:lang w:val="en-US"/>
        </w:rPr>
        <w:t xml:space="preserve">S. aureus. </w:t>
      </w:r>
      <w:r w:rsidRPr="00FC1892">
        <w:rPr>
          <w:rFonts w:cs="Calibri"/>
          <w:bCs/>
          <w:sz w:val="20"/>
          <w:szCs w:val="20"/>
          <w:lang w:val="en-US"/>
        </w:rPr>
        <w:t>This indicates that a concentration of 50 mg/mL is sufficient to inhibit bacterial growth, while a higher concentration of 100 mg/mL is required to completely kill the bacteria</w:t>
      </w:r>
      <w:r>
        <w:rPr>
          <w:rFonts w:cs="Calibri"/>
          <w:bCs/>
          <w:sz w:val="20"/>
          <w:szCs w:val="20"/>
          <w:lang w:val="en-US"/>
        </w:rPr>
        <w:t>.</w:t>
      </w:r>
    </w:p>
    <w:p w14:paraId="44E1DC46" w14:textId="77777777" w:rsidR="00FC1892" w:rsidRPr="00FC1892" w:rsidRDefault="00FC1892" w:rsidP="00170798">
      <w:pPr>
        <w:spacing w:before="120" w:after="0" w:line="240" w:lineRule="auto"/>
        <w:jc w:val="both"/>
        <w:rPr>
          <w:rFonts w:cs="Calibri"/>
          <w:b/>
          <w:bCs/>
          <w:sz w:val="20"/>
          <w:szCs w:val="20"/>
          <w:lang w:val="en-US"/>
        </w:rPr>
      </w:pPr>
      <w:r w:rsidRPr="00FC1892">
        <w:rPr>
          <w:rFonts w:cs="Calibri"/>
          <w:b/>
          <w:bCs/>
          <w:sz w:val="20"/>
          <w:szCs w:val="20"/>
          <w:lang w:val="en-US"/>
        </w:rPr>
        <w:lastRenderedPageBreak/>
        <w:t xml:space="preserve">Table 1: Phytochemical Constituents of </w:t>
      </w:r>
      <w:proofErr w:type="spellStart"/>
      <w:r w:rsidRPr="00FC1892">
        <w:rPr>
          <w:rFonts w:cs="Calibri"/>
          <w:b/>
          <w:bCs/>
          <w:i/>
          <w:sz w:val="20"/>
          <w:szCs w:val="20"/>
          <w:lang w:val="en-US"/>
        </w:rPr>
        <w:t>Mongifera</w:t>
      </w:r>
      <w:proofErr w:type="spellEnd"/>
      <w:r w:rsidRPr="00FC1892">
        <w:rPr>
          <w:rFonts w:cs="Calibri"/>
          <w:b/>
          <w:bCs/>
          <w:i/>
          <w:sz w:val="20"/>
          <w:szCs w:val="20"/>
          <w:lang w:val="en-US"/>
        </w:rPr>
        <w:t xml:space="preserve"> indica</w:t>
      </w:r>
      <w:r w:rsidRPr="00FC1892">
        <w:rPr>
          <w:rFonts w:cs="Calibri"/>
          <w:b/>
          <w:bCs/>
          <w:sz w:val="20"/>
          <w:szCs w:val="20"/>
          <w:lang w:val="en-US"/>
        </w:rPr>
        <w:t xml:space="preserve"> Leaves Extract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1"/>
        <w:gridCol w:w="3115"/>
        <w:gridCol w:w="3114"/>
      </w:tblGrid>
      <w:tr w:rsidR="00FC1892" w:rsidRPr="00FC1892" w14:paraId="2751D31A" w14:textId="77777777" w:rsidTr="007905AA">
        <w:tc>
          <w:tcPr>
            <w:tcW w:w="3192" w:type="dxa"/>
            <w:tcBorders>
              <w:top w:val="single" w:sz="4" w:space="0" w:color="auto"/>
              <w:bottom w:val="single" w:sz="4" w:space="0" w:color="auto"/>
            </w:tcBorders>
          </w:tcPr>
          <w:p w14:paraId="27CC4572"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Phytochemical constituent</w:t>
            </w:r>
          </w:p>
        </w:tc>
        <w:tc>
          <w:tcPr>
            <w:tcW w:w="3192" w:type="dxa"/>
            <w:tcBorders>
              <w:top w:val="single" w:sz="4" w:space="0" w:color="auto"/>
              <w:bottom w:val="single" w:sz="4" w:space="0" w:color="auto"/>
            </w:tcBorders>
          </w:tcPr>
          <w:p w14:paraId="6290E773"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 xml:space="preserve">Ethanolic extract </w:t>
            </w:r>
          </w:p>
        </w:tc>
        <w:tc>
          <w:tcPr>
            <w:tcW w:w="3192" w:type="dxa"/>
            <w:tcBorders>
              <w:top w:val="single" w:sz="4" w:space="0" w:color="auto"/>
              <w:bottom w:val="single" w:sz="4" w:space="0" w:color="auto"/>
            </w:tcBorders>
          </w:tcPr>
          <w:p w14:paraId="6C0C1A17"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Aqueous extract</w:t>
            </w:r>
          </w:p>
        </w:tc>
      </w:tr>
      <w:tr w:rsidR="00FC1892" w:rsidRPr="00FC1892" w14:paraId="6CBA0BDF" w14:textId="77777777" w:rsidTr="007905AA">
        <w:tc>
          <w:tcPr>
            <w:tcW w:w="3192" w:type="dxa"/>
            <w:tcBorders>
              <w:top w:val="single" w:sz="4" w:space="0" w:color="auto"/>
            </w:tcBorders>
          </w:tcPr>
          <w:p w14:paraId="091C51E8"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Alkaloids</w:t>
            </w:r>
          </w:p>
        </w:tc>
        <w:tc>
          <w:tcPr>
            <w:tcW w:w="3192" w:type="dxa"/>
            <w:tcBorders>
              <w:top w:val="single" w:sz="4" w:space="0" w:color="auto"/>
            </w:tcBorders>
          </w:tcPr>
          <w:p w14:paraId="1E7EF35F"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Borders>
              <w:top w:val="single" w:sz="4" w:space="0" w:color="auto"/>
            </w:tcBorders>
          </w:tcPr>
          <w:p w14:paraId="074B3EEF"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r w:rsidR="00FC1892" w:rsidRPr="00FC1892" w14:paraId="5FF3C733" w14:textId="77777777" w:rsidTr="007905AA">
        <w:tc>
          <w:tcPr>
            <w:tcW w:w="3192" w:type="dxa"/>
          </w:tcPr>
          <w:p w14:paraId="38665AEE" w14:textId="77777777" w:rsidR="00FC1892" w:rsidRPr="00FC1892" w:rsidRDefault="00FC1892" w:rsidP="007905AA">
            <w:pPr>
              <w:spacing w:after="0" w:line="240" w:lineRule="auto"/>
              <w:jc w:val="both"/>
              <w:rPr>
                <w:rFonts w:cs="Calibri"/>
                <w:bCs/>
                <w:sz w:val="20"/>
                <w:szCs w:val="20"/>
                <w:lang w:val="en-US"/>
              </w:rPr>
            </w:pPr>
            <w:proofErr w:type="spellStart"/>
            <w:r w:rsidRPr="00FC1892">
              <w:rPr>
                <w:rFonts w:cs="Calibri"/>
                <w:bCs/>
                <w:sz w:val="20"/>
                <w:szCs w:val="20"/>
                <w:lang w:val="en-US"/>
              </w:rPr>
              <w:t>Tannis</w:t>
            </w:r>
            <w:proofErr w:type="spellEnd"/>
          </w:p>
        </w:tc>
        <w:tc>
          <w:tcPr>
            <w:tcW w:w="3192" w:type="dxa"/>
          </w:tcPr>
          <w:p w14:paraId="49BB2C1C"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Pr>
          <w:p w14:paraId="2C980B3C"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r w:rsidR="00FC1892" w:rsidRPr="00FC1892" w14:paraId="2A34D0C3" w14:textId="77777777" w:rsidTr="007905AA">
        <w:tc>
          <w:tcPr>
            <w:tcW w:w="3192" w:type="dxa"/>
          </w:tcPr>
          <w:p w14:paraId="262DD788" w14:textId="77777777" w:rsidR="00FC1892" w:rsidRPr="00FC1892" w:rsidRDefault="00FC1892" w:rsidP="007905AA">
            <w:pPr>
              <w:spacing w:after="0" w:line="240" w:lineRule="auto"/>
              <w:jc w:val="both"/>
              <w:rPr>
                <w:rFonts w:cs="Calibri"/>
                <w:bCs/>
                <w:sz w:val="20"/>
                <w:szCs w:val="20"/>
                <w:lang w:val="en-US"/>
              </w:rPr>
            </w:pPr>
            <w:proofErr w:type="spellStart"/>
            <w:r w:rsidRPr="00FC1892">
              <w:rPr>
                <w:rFonts w:cs="Calibri"/>
                <w:bCs/>
                <w:sz w:val="20"/>
                <w:szCs w:val="20"/>
                <w:lang w:val="en-US"/>
              </w:rPr>
              <w:t>Saponins</w:t>
            </w:r>
            <w:proofErr w:type="spellEnd"/>
          </w:p>
        </w:tc>
        <w:tc>
          <w:tcPr>
            <w:tcW w:w="3192" w:type="dxa"/>
          </w:tcPr>
          <w:p w14:paraId="47B23461"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Pr>
          <w:p w14:paraId="1A903B04"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r w:rsidR="00FC1892" w:rsidRPr="00FC1892" w14:paraId="44685E95" w14:textId="77777777" w:rsidTr="00170798">
        <w:trPr>
          <w:trHeight w:val="80"/>
        </w:trPr>
        <w:tc>
          <w:tcPr>
            <w:tcW w:w="3192" w:type="dxa"/>
          </w:tcPr>
          <w:p w14:paraId="4739872E"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Phenols</w:t>
            </w:r>
          </w:p>
        </w:tc>
        <w:tc>
          <w:tcPr>
            <w:tcW w:w="3192" w:type="dxa"/>
          </w:tcPr>
          <w:p w14:paraId="0503CE59"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Pr>
          <w:p w14:paraId="7E0FEF9D"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r w:rsidR="00FC1892" w:rsidRPr="00FC1892" w14:paraId="17B1A11B" w14:textId="77777777" w:rsidTr="007905AA">
        <w:tc>
          <w:tcPr>
            <w:tcW w:w="3192" w:type="dxa"/>
          </w:tcPr>
          <w:p w14:paraId="73016067"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Glycosides</w:t>
            </w:r>
          </w:p>
        </w:tc>
        <w:tc>
          <w:tcPr>
            <w:tcW w:w="3192" w:type="dxa"/>
          </w:tcPr>
          <w:p w14:paraId="16DC4D4D"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Pr>
          <w:p w14:paraId="1C8E3C72"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r w:rsidR="00FC1892" w:rsidRPr="00FC1892" w14:paraId="121FB9FD" w14:textId="77777777" w:rsidTr="007905AA">
        <w:tc>
          <w:tcPr>
            <w:tcW w:w="3192" w:type="dxa"/>
          </w:tcPr>
          <w:p w14:paraId="147E4B6C" w14:textId="77777777" w:rsidR="00FC1892" w:rsidRPr="00FC1892" w:rsidRDefault="00FC1892" w:rsidP="007905AA">
            <w:pPr>
              <w:spacing w:after="0" w:line="240" w:lineRule="auto"/>
              <w:jc w:val="both"/>
              <w:rPr>
                <w:rFonts w:cs="Calibri"/>
                <w:bCs/>
                <w:sz w:val="20"/>
                <w:szCs w:val="20"/>
                <w:lang w:val="en-US"/>
              </w:rPr>
            </w:pPr>
            <w:proofErr w:type="spellStart"/>
            <w:r w:rsidRPr="00FC1892">
              <w:rPr>
                <w:rFonts w:cs="Calibri"/>
                <w:bCs/>
                <w:sz w:val="20"/>
                <w:szCs w:val="20"/>
                <w:lang w:val="en-US"/>
              </w:rPr>
              <w:t>Terpenoids</w:t>
            </w:r>
            <w:proofErr w:type="spellEnd"/>
          </w:p>
        </w:tc>
        <w:tc>
          <w:tcPr>
            <w:tcW w:w="3192" w:type="dxa"/>
          </w:tcPr>
          <w:p w14:paraId="4C203411"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Pr>
          <w:p w14:paraId="0A7A551C"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r w:rsidR="00FC1892" w:rsidRPr="00FC1892" w14:paraId="0CC418DD" w14:textId="77777777" w:rsidTr="00170798">
        <w:trPr>
          <w:trHeight w:val="80"/>
        </w:trPr>
        <w:tc>
          <w:tcPr>
            <w:tcW w:w="3192" w:type="dxa"/>
          </w:tcPr>
          <w:p w14:paraId="662ED5D5"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Steroids</w:t>
            </w:r>
          </w:p>
        </w:tc>
        <w:tc>
          <w:tcPr>
            <w:tcW w:w="3192" w:type="dxa"/>
          </w:tcPr>
          <w:p w14:paraId="2DCE2BB0"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Pr>
          <w:p w14:paraId="596EDA93"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r w:rsidR="00FC1892" w:rsidRPr="00FC1892" w14:paraId="38050F11" w14:textId="77777777" w:rsidTr="007905AA">
        <w:tc>
          <w:tcPr>
            <w:tcW w:w="3192" w:type="dxa"/>
          </w:tcPr>
          <w:p w14:paraId="59FA997F"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Quinones</w:t>
            </w:r>
          </w:p>
        </w:tc>
        <w:tc>
          <w:tcPr>
            <w:tcW w:w="3192" w:type="dxa"/>
          </w:tcPr>
          <w:p w14:paraId="7DDF745A"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Pr>
          <w:p w14:paraId="007F8B06"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r w:rsidR="00FC1892" w:rsidRPr="00FC1892" w14:paraId="2A12A1E5" w14:textId="77777777" w:rsidTr="007905AA">
        <w:tc>
          <w:tcPr>
            <w:tcW w:w="3192" w:type="dxa"/>
          </w:tcPr>
          <w:p w14:paraId="351FC742" w14:textId="77777777" w:rsidR="00FC1892" w:rsidRPr="00FC1892" w:rsidRDefault="00FC1892" w:rsidP="007905AA">
            <w:pPr>
              <w:spacing w:after="0" w:line="240" w:lineRule="auto"/>
              <w:jc w:val="both"/>
              <w:rPr>
                <w:rFonts w:cs="Calibri"/>
                <w:bCs/>
                <w:sz w:val="20"/>
                <w:szCs w:val="20"/>
                <w:lang w:val="en-US"/>
              </w:rPr>
            </w:pPr>
            <w:proofErr w:type="spellStart"/>
            <w:r w:rsidRPr="00FC1892">
              <w:rPr>
                <w:rFonts w:cs="Calibri"/>
                <w:bCs/>
                <w:sz w:val="20"/>
                <w:szCs w:val="20"/>
                <w:lang w:val="en-US"/>
              </w:rPr>
              <w:t>Phytosteroids</w:t>
            </w:r>
            <w:proofErr w:type="spellEnd"/>
          </w:p>
        </w:tc>
        <w:tc>
          <w:tcPr>
            <w:tcW w:w="3192" w:type="dxa"/>
          </w:tcPr>
          <w:p w14:paraId="1F2C0A3E"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3192" w:type="dxa"/>
          </w:tcPr>
          <w:p w14:paraId="7791A923"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bl>
    <w:p w14:paraId="27D9A389" w14:textId="77777777" w:rsidR="00FC1892" w:rsidRPr="00FC1892" w:rsidRDefault="00FC1892" w:rsidP="00FC1892">
      <w:pPr>
        <w:spacing w:after="0" w:line="240" w:lineRule="auto"/>
        <w:jc w:val="both"/>
        <w:rPr>
          <w:rFonts w:cs="Calibri"/>
          <w:bCs/>
          <w:sz w:val="20"/>
          <w:szCs w:val="20"/>
          <w:lang w:val="en-US"/>
        </w:rPr>
      </w:pPr>
      <w:r w:rsidRPr="00FC1892">
        <w:rPr>
          <w:rFonts w:cs="Calibri"/>
          <w:bCs/>
          <w:sz w:val="20"/>
          <w:szCs w:val="20"/>
          <w:lang w:val="en-US"/>
        </w:rPr>
        <w:t>Keys: + = detected, -= not detected</w:t>
      </w:r>
    </w:p>
    <w:p w14:paraId="7E3E91B6" w14:textId="77777777" w:rsidR="00FC1892" w:rsidRPr="00FC1892" w:rsidRDefault="00FC1892" w:rsidP="00170798">
      <w:pPr>
        <w:spacing w:before="120" w:after="0" w:line="240" w:lineRule="auto"/>
        <w:jc w:val="both"/>
        <w:rPr>
          <w:rFonts w:cs="Calibri"/>
          <w:b/>
          <w:bCs/>
          <w:sz w:val="20"/>
          <w:szCs w:val="20"/>
          <w:lang w:val="en-US"/>
        </w:rPr>
      </w:pPr>
      <w:r w:rsidRPr="00FC1892">
        <w:rPr>
          <w:rFonts w:cs="Calibri"/>
          <w:b/>
          <w:bCs/>
          <w:sz w:val="20"/>
          <w:szCs w:val="20"/>
          <w:lang w:val="en-US"/>
        </w:rPr>
        <w:t>Table 2</w:t>
      </w:r>
      <w:r w:rsidRPr="00FC1892">
        <w:rPr>
          <w:rFonts w:cs="Calibri"/>
          <w:bCs/>
          <w:sz w:val="20"/>
          <w:szCs w:val="20"/>
          <w:lang w:val="en-US"/>
        </w:rPr>
        <w:t xml:space="preserve">: </w:t>
      </w:r>
      <w:r w:rsidRPr="00FC1892">
        <w:rPr>
          <w:rFonts w:cs="Calibri"/>
          <w:b/>
          <w:bCs/>
          <w:sz w:val="20"/>
          <w:szCs w:val="20"/>
          <w:lang w:val="en-US"/>
        </w:rPr>
        <w:t>Biochemical Characterization of the Bacterial Isolates</w:t>
      </w:r>
    </w:p>
    <w:tbl>
      <w:tblPr>
        <w:tblStyle w:val="Style1"/>
        <w:tblW w:w="0" w:type="auto"/>
        <w:tblBorders>
          <w:top w:val="single" w:sz="4" w:space="0" w:color="auto"/>
          <w:bottom w:val="single" w:sz="4" w:space="0" w:color="auto"/>
        </w:tblBorders>
        <w:tblLook w:val="04A0" w:firstRow="1" w:lastRow="0" w:firstColumn="1" w:lastColumn="0" w:noHBand="0" w:noVBand="1"/>
      </w:tblPr>
      <w:tblGrid>
        <w:gridCol w:w="1335"/>
        <w:gridCol w:w="2918"/>
        <w:gridCol w:w="1417"/>
        <w:gridCol w:w="993"/>
        <w:gridCol w:w="1100"/>
        <w:gridCol w:w="742"/>
        <w:gridCol w:w="855"/>
      </w:tblGrid>
      <w:tr w:rsidR="00170798" w:rsidRPr="00FC1892" w14:paraId="2964805C" w14:textId="77777777" w:rsidTr="00170798">
        <w:tc>
          <w:tcPr>
            <w:tcW w:w="1335" w:type="dxa"/>
            <w:tcBorders>
              <w:top w:val="single" w:sz="4" w:space="0" w:color="auto"/>
              <w:bottom w:val="single" w:sz="4" w:space="0" w:color="auto"/>
            </w:tcBorders>
          </w:tcPr>
          <w:p w14:paraId="4168F797"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Organism</w:t>
            </w:r>
          </w:p>
        </w:tc>
        <w:tc>
          <w:tcPr>
            <w:tcW w:w="2918" w:type="dxa"/>
            <w:tcBorders>
              <w:top w:val="single" w:sz="4" w:space="0" w:color="auto"/>
              <w:bottom w:val="single" w:sz="4" w:space="0" w:color="auto"/>
            </w:tcBorders>
          </w:tcPr>
          <w:p w14:paraId="72EF3B16"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Cultural characteristics</w:t>
            </w:r>
          </w:p>
        </w:tc>
        <w:tc>
          <w:tcPr>
            <w:tcW w:w="1417" w:type="dxa"/>
            <w:tcBorders>
              <w:top w:val="single" w:sz="4" w:space="0" w:color="auto"/>
              <w:bottom w:val="single" w:sz="4" w:space="0" w:color="auto"/>
            </w:tcBorders>
          </w:tcPr>
          <w:p w14:paraId="5EBAB606"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Gram reaction</w:t>
            </w:r>
          </w:p>
        </w:tc>
        <w:tc>
          <w:tcPr>
            <w:tcW w:w="993" w:type="dxa"/>
            <w:tcBorders>
              <w:top w:val="single" w:sz="4" w:space="0" w:color="auto"/>
              <w:bottom w:val="single" w:sz="4" w:space="0" w:color="auto"/>
            </w:tcBorders>
          </w:tcPr>
          <w:p w14:paraId="3BE5E7E9"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Catalase</w:t>
            </w:r>
          </w:p>
        </w:tc>
        <w:tc>
          <w:tcPr>
            <w:tcW w:w="1100" w:type="dxa"/>
            <w:tcBorders>
              <w:top w:val="single" w:sz="4" w:space="0" w:color="auto"/>
              <w:bottom w:val="single" w:sz="4" w:space="0" w:color="auto"/>
            </w:tcBorders>
          </w:tcPr>
          <w:p w14:paraId="7DFEA66A"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Coagulase</w:t>
            </w:r>
          </w:p>
        </w:tc>
        <w:tc>
          <w:tcPr>
            <w:tcW w:w="742" w:type="dxa"/>
            <w:tcBorders>
              <w:top w:val="single" w:sz="4" w:space="0" w:color="auto"/>
              <w:bottom w:val="single" w:sz="4" w:space="0" w:color="auto"/>
            </w:tcBorders>
          </w:tcPr>
          <w:p w14:paraId="2D43295E" w14:textId="77777777" w:rsidR="00FC1892" w:rsidRPr="00FC1892" w:rsidRDefault="00FC1892" w:rsidP="007905AA">
            <w:pPr>
              <w:spacing w:after="0" w:line="240" w:lineRule="auto"/>
              <w:jc w:val="both"/>
              <w:rPr>
                <w:rFonts w:cs="Calibri"/>
                <w:b/>
                <w:bCs/>
                <w:sz w:val="20"/>
                <w:szCs w:val="20"/>
                <w:lang w:val="en-US"/>
              </w:rPr>
            </w:pPr>
            <w:proofErr w:type="spellStart"/>
            <w:r w:rsidRPr="00FC1892">
              <w:rPr>
                <w:rFonts w:cs="Calibri"/>
                <w:b/>
                <w:bCs/>
                <w:sz w:val="20"/>
                <w:szCs w:val="20"/>
                <w:lang w:val="en-US"/>
              </w:rPr>
              <w:t>Indole</w:t>
            </w:r>
            <w:proofErr w:type="spellEnd"/>
          </w:p>
        </w:tc>
        <w:tc>
          <w:tcPr>
            <w:tcW w:w="855" w:type="dxa"/>
            <w:tcBorders>
              <w:top w:val="single" w:sz="4" w:space="0" w:color="auto"/>
              <w:bottom w:val="single" w:sz="4" w:space="0" w:color="auto"/>
            </w:tcBorders>
          </w:tcPr>
          <w:p w14:paraId="0496D48B" w14:textId="77777777" w:rsidR="00FC1892" w:rsidRPr="00FC1892" w:rsidRDefault="00FC1892" w:rsidP="007905AA">
            <w:pPr>
              <w:spacing w:after="0" w:line="240" w:lineRule="auto"/>
              <w:jc w:val="both"/>
              <w:rPr>
                <w:rFonts w:cs="Calibri"/>
                <w:b/>
                <w:bCs/>
                <w:sz w:val="20"/>
                <w:szCs w:val="20"/>
                <w:lang w:val="en-US"/>
              </w:rPr>
            </w:pPr>
            <w:r w:rsidRPr="00FC1892">
              <w:rPr>
                <w:rFonts w:cs="Calibri"/>
                <w:b/>
                <w:bCs/>
                <w:sz w:val="20"/>
                <w:szCs w:val="20"/>
                <w:lang w:val="en-US"/>
              </w:rPr>
              <w:t>Citrate</w:t>
            </w:r>
          </w:p>
        </w:tc>
      </w:tr>
      <w:tr w:rsidR="00170798" w:rsidRPr="00FC1892" w14:paraId="5CB2C15B" w14:textId="77777777" w:rsidTr="00170798">
        <w:trPr>
          <w:trHeight w:val="70"/>
        </w:trPr>
        <w:tc>
          <w:tcPr>
            <w:tcW w:w="1335" w:type="dxa"/>
            <w:tcBorders>
              <w:top w:val="single" w:sz="4" w:space="0" w:color="auto"/>
            </w:tcBorders>
          </w:tcPr>
          <w:p w14:paraId="0F9D152D" w14:textId="77777777" w:rsidR="00FC1892" w:rsidRPr="00FC1892" w:rsidRDefault="00FC1892" w:rsidP="007905AA">
            <w:pPr>
              <w:spacing w:after="0" w:line="240" w:lineRule="auto"/>
              <w:jc w:val="both"/>
              <w:rPr>
                <w:rFonts w:cs="Calibri"/>
                <w:bCs/>
                <w:i/>
                <w:sz w:val="20"/>
                <w:szCs w:val="20"/>
                <w:lang w:val="en-US"/>
              </w:rPr>
            </w:pPr>
            <w:proofErr w:type="spellStart"/>
            <w:r w:rsidRPr="00FC1892">
              <w:rPr>
                <w:rFonts w:cs="Calibri"/>
                <w:bCs/>
                <w:i/>
                <w:sz w:val="20"/>
                <w:szCs w:val="20"/>
                <w:lang w:val="en-US"/>
              </w:rPr>
              <w:t>S.aureus</w:t>
            </w:r>
            <w:proofErr w:type="spellEnd"/>
          </w:p>
        </w:tc>
        <w:tc>
          <w:tcPr>
            <w:tcW w:w="2918" w:type="dxa"/>
            <w:tcBorders>
              <w:top w:val="single" w:sz="4" w:space="0" w:color="auto"/>
            </w:tcBorders>
          </w:tcPr>
          <w:p w14:paraId="18422B54"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Golden yellow colonies on MSA</w:t>
            </w:r>
          </w:p>
        </w:tc>
        <w:tc>
          <w:tcPr>
            <w:tcW w:w="1417" w:type="dxa"/>
            <w:tcBorders>
              <w:top w:val="single" w:sz="4" w:space="0" w:color="auto"/>
            </w:tcBorders>
          </w:tcPr>
          <w:p w14:paraId="3D84F009"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 xml:space="preserve">+ </w:t>
            </w:r>
            <w:proofErr w:type="spellStart"/>
            <w:r w:rsidRPr="00FC1892">
              <w:rPr>
                <w:rFonts w:cs="Calibri"/>
                <w:bCs/>
                <w:sz w:val="20"/>
                <w:szCs w:val="20"/>
                <w:lang w:val="en-US"/>
              </w:rPr>
              <w:t>cocci</w:t>
            </w:r>
            <w:proofErr w:type="spellEnd"/>
          </w:p>
        </w:tc>
        <w:tc>
          <w:tcPr>
            <w:tcW w:w="993" w:type="dxa"/>
            <w:tcBorders>
              <w:top w:val="single" w:sz="4" w:space="0" w:color="auto"/>
            </w:tcBorders>
          </w:tcPr>
          <w:p w14:paraId="2FF95DCA"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1100" w:type="dxa"/>
            <w:tcBorders>
              <w:top w:val="single" w:sz="4" w:space="0" w:color="auto"/>
            </w:tcBorders>
          </w:tcPr>
          <w:p w14:paraId="0C8FE408"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742" w:type="dxa"/>
            <w:tcBorders>
              <w:top w:val="single" w:sz="4" w:space="0" w:color="auto"/>
            </w:tcBorders>
          </w:tcPr>
          <w:p w14:paraId="072BABA0"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c>
          <w:tcPr>
            <w:tcW w:w="855" w:type="dxa"/>
            <w:tcBorders>
              <w:top w:val="single" w:sz="4" w:space="0" w:color="auto"/>
            </w:tcBorders>
          </w:tcPr>
          <w:p w14:paraId="3163CCC0" w14:textId="77777777" w:rsidR="00FC1892" w:rsidRPr="00FC1892" w:rsidRDefault="00FC1892" w:rsidP="007905AA">
            <w:pPr>
              <w:spacing w:after="0" w:line="240" w:lineRule="auto"/>
              <w:jc w:val="both"/>
              <w:rPr>
                <w:rFonts w:cs="Calibri"/>
                <w:bCs/>
                <w:sz w:val="20"/>
                <w:szCs w:val="20"/>
                <w:lang w:val="en-US"/>
              </w:rPr>
            </w:pPr>
            <w:r w:rsidRPr="00FC1892">
              <w:rPr>
                <w:rFonts w:cs="Calibri"/>
                <w:bCs/>
                <w:sz w:val="20"/>
                <w:szCs w:val="20"/>
                <w:lang w:val="en-US"/>
              </w:rPr>
              <w:t>+</w:t>
            </w:r>
          </w:p>
        </w:tc>
      </w:tr>
    </w:tbl>
    <w:p w14:paraId="50B0B792" w14:textId="77777777" w:rsidR="00FC1892" w:rsidRPr="00FC1892" w:rsidRDefault="00FC1892" w:rsidP="00FC1892">
      <w:pPr>
        <w:spacing w:after="0" w:line="240" w:lineRule="auto"/>
        <w:jc w:val="both"/>
        <w:rPr>
          <w:rFonts w:cs="Calibri"/>
          <w:bCs/>
          <w:sz w:val="20"/>
          <w:szCs w:val="20"/>
          <w:lang w:val="en-US"/>
        </w:rPr>
      </w:pPr>
      <w:r w:rsidRPr="00FC1892">
        <w:rPr>
          <w:rFonts w:cs="Calibri"/>
          <w:bCs/>
          <w:sz w:val="20"/>
          <w:szCs w:val="20"/>
          <w:lang w:val="en-US"/>
        </w:rPr>
        <w:t xml:space="preserve">Key: MSA = </w:t>
      </w:r>
      <w:proofErr w:type="spellStart"/>
      <w:r w:rsidRPr="00FC1892">
        <w:rPr>
          <w:rFonts w:cs="Calibri"/>
          <w:bCs/>
          <w:sz w:val="20"/>
          <w:szCs w:val="20"/>
          <w:lang w:val="en-US"/>
        </w:rPr>
        <w:t>Mannitol</w:t>
      </w:r>
      <w:proofErr w:type="spellEnd"/>
      <w:r w:rsidRPr="00FC1892">
        <w:rPr>
          <w:rFonts w:cs="Calibri"/>
          <w:bCs/>
          <w:sz w:val="20"/>
          <w:szCs w:val="20"/>
          <w:lang w:val="en-US"/>
        </w:rPr>
        <w:t xml:space="preserve"> Salt Agar</w:t>
      </w:r>
    </w:p>
    <w:p w14:paraId="7CFCB6AD" w14:textId="77777777" w:rsidR="00EE09AE" w:rsidRDefault="00EE09AE" w:rsidP="00170798">
      <w:pPr>
        <w:spacing w:before="120" w:after="0" w:line="240" w:lineRule="auto"/>
        <w:jc w:val="both"/>
        <w:rPr>
          <w:rFonts w:cs="Calibri"/>
          <w:b/>
          <w:bCs/>
          <w:sz w:val="20"/>
          <w:szCs w:val="20"/>
          <w:lang w:val="en-US"/>
        </w:rPr>
      </w:pPr>
    </w:p>
    <w:p w14:paraId="05F8F2C7" w14:textId="77777777" w:rsidR="00EE09AE" w:rsidRDefault="00EE09AE" w:rsidP="00170798">
      <w:pPr>
        <w:spacing w:before="120" w:after="0" w:line="240" w:lineRule="auto"/>
        <w:jc w:val="both"/>
        <w:rPr>
          <w:rFonts w:cs="Calibri"/>
          <w:b/>
          <w:bCs/>
          <w:sz w:val="20"/>
          <w:szCs w:val="20"/>
          <w:lang w:val="en-US"/>
        </w:rPr>
      </w:pPr>
    </w:p>
    <w:p w14:paraId="3A866D5F" w14:textId="77777777" w:rsidR="00EE09AE" w:rsidRDefault="00EE09AE" w:rsidP="00170798">
      <w:pPr>
        <w:spacing w:before="120" w:after="0" w:line="240" w:lineRule="auto"/>
        <w:jc w:val="both"/>
        <w:rPr>
          <w:rFonts w:cs="Calibri"/>
          <w:b/>
          <w:bCs/>
          <w:sz w:val="20"/>
          <w:szCs w:val="20"/>
          <w:lang w:val="en-US"/>
        </w:rPr>
      </w:pPr>
    </w:p>
    <w:p w14:paraId="33A257A0" w14:textId="77777777" w:rsidR="00170798" w:rsidRPr="00FC1892" w:rsidRDefault="00170798" w:rsidP="00170798">
      <w:pPr>
        <w:spacing w:before="120" w:after="0" w:line="240" w:lineRule="auto"/>
        <w:jc w:val="both"/>
        <w:rPr>
          <w:rFonts w:cs="Calibri"/>
          <w:b/>
          <w:bCs/>
          <w:sz w:val="20"/>
          <w:szCs w:val="20"/>
          <w:lang w:val="en-US"/>
        </w:rPr>
      </w:pPr>
      <w:r w:rsidRPr="00FC1892">
        <w:rPr>
          <w:rFonts w:cs="Calibri"/>
          <w:b/>
          <w:bCs/>
          <w:sz w:val="20"/>
          <w:szCs w:val="20"/>
          <w:lang w:val="en-US"/>
        </w:rPr>
        <w:lastRenderedPageBreak/>
        <w:t xml:space="preserve">Table 3: Antibacterial Activity of </w:t>
      </w:r>
      <w:proofErr w:type="spellStart"/>
      <w:r w:rsidRPr="00FC1892">
        <w:rPr>
          <w:rFonts w:cs="Calibri"/>
          <w:b/>
          <w:bCs/>
          <w:i/>
          <w:sz w:val="20"/>
          <w:szCs w:val="20"/>
          <w:lang w:val="en-US"/>
        </w:rPr>
        <w:t>Mongifera</w:t>
      </w:r>
      <w:proofErr w:type="spellEnd"/>
      <w:r w:rsidRPr="00FC1892">
        <w:rPr>
          <w:rFonts w:cs="Calibri"/>
          <w:b/>
          <w:bCs/>
          <w:i/>
          <w:sz w:val="20"/>
          <w:szCs w:val="20"/>
          <w:lang w:val="en-US"/>
        </w:rPr>
        <w:t xml:space="preserve"> indica</w:t>
      </w:r>
      <w:r w:rsidRPr="00FC1892">
        <w:rPr>
          <w:rFonts w:cs="Calibri"/>
          <w:b/>
          <w:bCs/>
          <w:sz w:val="20"/>
          <w:szCs w:val="20"/>
          <w:lang w:val="en-US"/>
        </w:rPr>
        <w:t xml:space="preserve"> Leaves Extract against </w:t>
      </w:r>
      <w:r w:rsidRPr="00FC1892">
        <w:rPr>
          <w:rFonts w:cs="Calibri"/>
          <w:b/>
          <w:bCs/>
          <w:i/>
          <w:sz w:val="20"/>
          <w:szCs w:val="20"/>
          <w:lang w:val="en-US"/>
        </w:rPr>
        <w:t>S. aureus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8"/>
        <w:gridCol w:w="1311"/>
        <w:gridCol w:w="1401"/>
        <w:gridCol w:w="1337"/>
        <w:gridCol w:w="1329"/>
        <w:gridCol w:w="1330"/>
        <w:gridCol w:w="1324"/>
      </w:tblGrid>
      <w:tr w:rsidR="00170798" w:rsidRPr="00FC1892" w14:paraId="4D9126A5" w14:textId="77777777" w:rsidTr="00EE09AE">
        <w:tc>
          <w:tcPr>
            <w:tcW w:w="1328" w:type="dxa"/>
            <w:tcBorders>
              <w:top w:val="single" w:sz="4" w:space="0" w:color="auto"/>
              <w:bottom w:val="single" w:sz="4" w:space="0" w:color="auto"/>
            </w:tcBorders>
          </w:tcPr>
          <w:p w14:paraId="76086140"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Extract</w:t>
            </w:r>
          </w:p>
        </w:tc>
        <w:tc>
          <w:tcPr>
            <w:tcW w:w="1311" w:type="dxa"/>
            <w:tcBorders>
              <w:top w:val="single" w:sz="4" w:space="0" w:color="auto"/>
              <w:bottom w:val="single" w:sz="4" w:space="0" w:color="auto"/>
            </w:tcBorders>
          </w:tcPr>
          <w:p w14:paraId="3A87C312" w14:textId="77777777" w:rsidR="00170798" w:rsidRPr="00FC1892" w:rsidRDefault="00170798" w:rsidP="007905AA">
            <w:pPr>
              <w:spacing w:after="0" w:line="240" w:lineRule="auto"/>
              <w:jc w:val="both"/>
              <w:rPr>
                <w:rFonts w:cs="Calibri"/>
                <w:b/>
                <w:bCs/>
                <w:sz w:val="20"/>
                <w:szCs w:val="20"/>
                <w:lang w:val="en-US"/>
              </w:rPr>
            </w:pPr>
          </w:p>
        </w:tc>
        <w:tc>
          <w:tcPr>
            <w:tcW w:w="1401" w:type="dxa"/>
            <w:tcBorders>
              <w:top w:val="single" w:sz="4" w:space="0" w:color="auto"/>
              <w:bottom w:val="single" w:sz="4" w:space="0" w:color="auto"/>
            </w:tcBorders>
          </w:tcPr>
          <w:p w14:paraId="055355E5"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 xml:space="preserve">Concentration  </w:t>
            </w:r>
          </w:p>
        </w:tc>
        <w:tc>
          <w:tcPr>
            <w:tcW w:w="1337" w:type="dxa"/>
            <w:tcBorders>
              <w:top w:val="single" w:sz="4" w:space="0" w:color="auto"/>
              <w:bottom w:val="single" w:sz="4" w:space="0" w:color="auto"/>
            </w:tcBorders>
          </w:tcPr>
          <w:p w14:paraId="6912E930"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(mg/mL)</w:t>
            </w:r>
          </w:p>
        </w:tc>
        <w:tc>
          <w:tcPr>
            <w:tcW w:w="1329" w:type="dxa"/>
            <w:tcBorders>
              <w:top w:val="single" w:sz="4" w:space="0" w:color="auto"/>
              <w:bottom w:val="single" w:sz="4" w:space="0" w:color="auto"/>
            </w:tcBorders>
          </w:tcPr>
          <w:p w14:paraId="1588BCB8" w14:textId="77777777" w:rsidR="00170798" w:rsidRPr="00FC1892" w:rsidRDefault="00170798" w:rsidP="007905AA">
            <w:pPr>
              <w:spacing w:after="0" w:line="240" w:lineRule="auto"/>
              <w:jc w:val="both"/>
              <w:rPr>
                <w:rFonts w:cs="Calibri"/>
                <w:b/>
                <w:bCs/>
                <w:sz w:val="20"/>
                <w:szCs w:val="20"/>
                <w:lang w:val="en-US"/>
              </w:rPr>
            </w:pPr>
          </w:p>
        </w:tc>
        <w:tc>
          <w:tcPr>
            <w:tcW w:w="1330" w:type="dxa"/>
            <w:tcBorders>
              <w:top w:val="single" w:sz="4" w:space="0" w:color="auto"/>
              <w:bottom w:val="single" w:sz="4" w:space="0" w:color="auto"/>
            </w:tcBorders>
          </w:tcPr>
          <w:p w14:paraId="39BC8FFF"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 xml:space="preserve">    Control</w:t>
            </w:r>
          </w:p>
        </w:tc>
        <w:tc>
          <w:tcPr>
            <w:tcW w:w="1324" w:type="dxa"/>
            <w:tcBorders>
              <w:top w:val="single" w:sz="4" w:space="0" w:color="auto"/>
              <w:bottom w:val="single" w:sz="4" w:space="0" w:color="auto"/>
            </w:tcBorders>
          </w:tcPr>
          <w:p w14:paraId="11ED0979" w14:textId="77777777" w:rsidR="00170798" w:rsidRPr="00FC1892" w:rsidRDefault="00170798" w:rsidP="007905AA">
            <w:pPr>
              <w:spacing w:after="0" w:line="240" w:lineRule="auto"/>
              <w:jc w:val="both"/>
              <w:rPr>
                <w:rFonts w:cs="Calibri"/>
                <w:b/>
                <w:bCs/>
                <w:sz w:val="20"/>
                <w:szCs w:val="20"/>
                <w:lang w:val="en-US"/>
              </w:rPr>
            </w:pPr>
          </w:p>
        </w:tc>
      </w:tr>
      <w:tr w:rsidR="00170798" w:rsidRPr="00FC1892" w14:paraId="2C87E84D" w14:textId="77777777" w:rsidTr="00EE09AE">
        <w:tc>
          <w:tcPr>
            <w:tcW w:w="1328" w:type="dxa"/>
            <w:tcBorders>
              <w:top w:val="single" w:sz="4" w:space="0" w:color="auto"/>
            </w:tcBorders>
          </w:tcPr>
          <w:p w14:paraId="548470EA" w14:textId="77777777" w:rsidR="00170798" w:rsidRPr="00FC1892" w:rsidRDefault="00170798" w:rsidP="007905AA">
            <w:pPr>
              <w:spacing w:after="0" w:line="240" w:lineRule="auto"/>
              <w:jc w:val="both"/>
              <w:rPr>
                <w:rFonts w:cs="Calibri"/>
                <w:b/>
                <w:bCs/>
                <w:sz w:val="20"/>
                <w:szCs w:val="20"/>
                <w:lang w:val="en-US"/>
              </w:rPr>
            </w:pPr>
          </w:p>
        </w:tc>
        <w:tc>
          <w:tcPr>
            <w:tcW w:w="1311" w:type="dxa"/>
            <w:tcBorders>
              <w:top w:val="single" w:sz="4" w:space="0" w:color="auto"/>
            </w:tcBorders>
          </w:tcPr>
          <w:p w14:paraId="77ECAD34" w14:textId="77777777" w:rsidR="00170798" w:rsidRPr="00FC1892" w:rsidRDefault="00170798" w:rsidP="007905AA">
            <w:pPr>
              <w:spacing w:after="0" w:line="240" w:lineRule="auto"/>
              <w:jc w:val="both"/>
              <w:rPr>
                <w:rFonts w:cs="Calibri"/>
                <w:b/>
                <w:bCs/>
                <w:sz w:val="20"/>
                <w:szCs w:val="20"/>
                <w:lang w:val="en-US"/>
              </w:rPr>
            </w:pPr>
          </w:p>
        </w:tc>
        <w:tc>
          <w:tcPr>
            <w:tcW w:w="1401" w:type="dxa"/>
            <w:tcBorders>
              <w:top w:val="single" w:sz="4" w:space="0" w:color="auto"/>
            </w:tcBorders>
          </w:tcPr>
          <w:p w14:paraId="4DBD88D2" w14:textId="3C8F2D53" w:rsidR="00170798" w:rsidRPr="00FC1892" w:rsidRDefault="00170798" w:rsidP="00170798">
            <w:pPr>
              <w:spacing w:after="0" w:line="240" w:lineRule="auto"/>
              <w:rPr>
                <w:rFonts w:cs="Calibri"/>
                <w:b/>
                <w:bCs/>
                <w:sz w:val="20"/>
                <w:szCs w:val="20"/>
                <w:lang w:val="en-US"/>
              </w:rPr>
            </w:pPr>
            <w:r w:rsidRPr="00FC1892">
              <w:rPr>
                <w:rFonts w:cs="Calibri"/>
                <w:b/>
                <w:bCs/>
                <w:sz w:val="20"/>
                <w:szCs w:val="20"/>
                <w:lang w:val="en-US"/>
              </w:rPr>
              <w:t>Aqueous</w:t>
            </w:r>
          </w:p>
        </w:tc>
        <w:tc>
          <w:tcPr>
            <w:tcW w:w="1337" w:type="dxa"/>
            <w:tcBorders>
              <w:top w:val="single" w:sz="4" w:space="0" w:color="auto"/>
            </w:tcBorders>
          </w:tcPr>
          <w:p w14:paraId="7B36AD89" w14:textId="77777777" w:rsidR="00170798" w:rsidRPr="00FC1892" w:rsidRDefault="00170798" w:rsidP="007905AA">
            <w:pPr>
              <w:spacing w:after="0" w:line="240" w:lineRule="auto"/>
              <w:jc w:val="both"/>
              <w:rPr>
                <w:rFonts w:cs="Calibri"/>
                <w:b/>
                <w:bCs/>
                <w:sz w:val="20"/>
                <w:szCs w:val="20"/>
                <w:lang w:val="en-US"/>
              </w:rPr>
            </w:pPr>
          </w:p>
        </w:tc>
        <w:tc>
          <w:tcPr>
            <w:tcW w:w="1329" w:type="dxa"/>
            <w:tcBorders>
              <w:top w:val="single" w:sz="4" w:space="0" w:color="auto"/>
            </w:tcBorders>
          </w:tcPr>
          <w:p w14:paraId="7BAC6B62" w14:textId="77777777" w:rsidR="00170798" w:rsidRPr="00FC1892" w:rsidRDefault="00170798" w:rsidP="007905AA">
            <w:pPr>
              <w:spacing w:after="0" w:line="240" w:lineRule="auto"/>
              <w:jc w:val="both"/>
              <w:rPr>
                <w:rFonts w:cs="Calibri"/>
                <w:b/>
                <w:bCs/>
                <w:sz w:val="20"/>
                <w:szCs w:val="20"/>
                <w:lang w:val="en-US"/>
              </w:rPr>
            </w:pPr>
          </w:p>
        </w:tc>
        <w:tc>
          <w:tcPr>
            <w:tcW w:w="1330" w:type="dxa"/>
            <w:tcBorders>
              <w:top w:val="single" w:sz="4" w:space="0" w:color="auto"/>
            </w:tcBorders>
          </w:tcPr>
          <w:p w14:paraId="20A0904E" w14:textId="77777777" w:rsidR="00170798" w:rsidRPr="00FC1892" w:rsidRDefault="00170798" w:rsidP="007905AA">
            <w:pPr>
              <w:spacing w:after="0" w:line="240" w:lineRule="auto"/>
              <w:jc w:val="both"/>
              <w:rPr>
                <w:rFonts w:cs="Calibri"/>
                <w:b/>
                <w:bCs/>
                <w:sz w:val="20"/>
                <w:szCs w:val="20"/>
                <w:lang w:val="en-US"/>
              </w:rPr>
            </w:pPr>
          </w:p>
        </w:tc>
        <w:tc>
          <w:tcPr>
            <w:tcW w:w="1324" w:type="dxa"/>
            <w:tcBorders>
              <w:top w:val="single" w:sz="4" w:space="0" w:color="auto"/>
            </w:tcBorders>
          </w:tcPr>
          <w:p w14:paraId="4ACCC3FF" w14:textId="77777777" w:rsidR="00170798" w:rsidRPr="00FC1892" w:rsidRDefault="00170798" w:rsidP="007905AA">
            <w:pPr>
              <w:spacing w:after="0" w:line="240" w:lineRule="auto"/>
              <w:jc w:val="both"/>
              <w:rPr>
                <w:rFonts w:cs="Calibri"/>
                <w:b/>
                <w:bCs/>
                <w:sz w:val="20"/>
                <w:szCs w:val="20"/>
                <w:lang w:val="en-US"/>
              </w:rPr>
            </w:pPr>
          </w:p>
        </w:tc>
      </w:tr>
      <w:tr w:rsidR="00170798" w:rsidRPr="00FC1892" w14:paraId="6CDAFF4B" w14:textId="77777777" w:rsidTr="00EE09AE">
        <w:trPr>
          <w:trHeight w:val="80"/>
        </w:trPr>
        <w:tc>
          <w:tcPr>
            <w:tcW w:w="1328" w:type="dxa"/>
          </w:tcPr>
          <w:p w14:paraId="74E7A391"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 xml:space="preserve">  </w:t>
            </w:r>
          </w:p>
        </w:tc>
        <w:tc>
          <w:tcPr>
            <w:tcW w:w="1311" w:type="dxa"/>
          </w:tcPr>
          <w:p w14:paraId="757AEA75"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 xml:space="preserve">    200</w:t>
            </w:r>
          </w:p>
        </w:tc>
        <w:tc>
          <w:tcPr>
            <w:tcW w:w="1401" w:type="dxa"/>
          </w:tcPr>
          <w:p w14:paraId="07818338"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100</w:t>
            </w:r>
          </w:p>
        </w:tc>
        <w:tc>
          <w:tcPr>
            <w:tcW w:w="1337" w:type="dxa"/>
          </w:tcPr>
          <w:p w14:paraId="0E93A070"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50</w:t>
            </w:r>
          </w:p>
        </w:tc>
        <w:tc>
          <w:tcPr>
            <w:tcW w:w="1329" w:type="dxa"/>
          </w:tcPr>
          <w:p w14:paraId="507E98CA"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25</w:t>
            </w:r>
          </w:p>
        </w:tc>
        <w:tc>
          <w:tcPr>
            <w:tcW w:w="1330" w:type="dxa"/>
          </w:tcPr>
          <w:p w14:paraId="23B86EC0" w14:textId="77777777" w:rsidR="00170798" w:rsidRPr="00FC1892" w:rsidRDefault="00170798" w:rsidP="007905AA">
            <w:pPr>
              <w:spacing w:after="0" w:line="240" w:lineRule="auto"/>
              <w:jc w:val="both"/>
              <w:rPr>
                <w:rFonts w:cs="Calibri"/>
                <w:b/>
                <w:bCs/>
                <w:sz w:val="20"/>
                <w:szCs w:val="20"/>
                <w:lang w:val="en-US"/>
              </w:rPr>
            </w:pPr>
            <w:proofErr w:type="spellStart"/>
            <w:r w:rsidRPr="00FC1892">
              <w:rPr>
                <w:rFonts w:cs="Calibri"/>
                <w:b/>
                <w:bCs/>
                <w:sz w:val="20"/>
                <w:szCs w:val="20"/>
                <w:lang w:val="en-US"/>
              </w:rPr>
              <w:t>Cipro</w:t>
            </w:r>
            <w:proofErr w:type="spellEnd"/>
          </w:p>
        </w:tc>
        <w:tc>
          <w:tcPr>
            <w:tcW w:w="1324" w:type="dxa"/>
          </w:tcPr>
          <w:p w14:paraId="757D8EC5"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DMSO</w:t>
            </w:r>
          </w:p>
        </w:tc>
      </w:tr>
      <w:tr w:rsidR="00170798" w:rsidRPr="00FC1892" w14:paraId="6F4373F5" w14:textId="77777777" w:rsidTr="00EE09AE">
        <w:tc>
          <w:tcPr>
            <w:tcW w:w="1328" w:type="dxa"/>
          </w:tcPr>
          <w:p w14:paraId="2880D775" w14:textId="6391026E" w:rsidR="00170798" w:rsidRPr="00FC1892" w:rsidRDefault="00170798" w:rsidP="007905AA">
            <w:pPr>
              <w:spacing w:after="0" w:line="240" w:lineRule="auto"/>
              <w:jc w:val="both"/>
              <w:rPr>
                <w:rFonts w:cs="Calibri"/>
                <w:b/>
                <w:bCs/>
                <w:i/>
                <w:sz w:val="20"/>
                <w:szCs w:val="20"/>
                <w:lang w:val="en-US"/>
              </w:rPr>
            </w:pPr>
            <w:r w:rsidRPr="00FC1892">
              <w:rPr>
                <w:rFonts w:cs="Calibri"/>
                <w:b/>
                <w:bCs/>
                <w:i/>
                <w:sz w:val="20"/>
                <w:szCs w:val="20"/>
                <w:lang w:val="en-US"/>
              </w:rPr>
              <w:t>M.</w:t>
            </w:r>
            <w:r w:rsidR="00EA2717">
              <w:rPr>
                <w:rFonts w:cs="Calibri"/>
                <w:b/>
                <w:bCs/>
                <w:i/>
                <w:sz w:val="20"/>
                <w:szCs w:val="20"/>
                <w:lang w:val="en-US"/>
              </w:rPr>
              <w:t xml:space="preserve"> </w:t>
            </w:r>
            <w:r w:rsidRPr="00FC1892">
              <w:rPr>
                <w:rFonts w:cs="Calibri"/>
                <w:b/>
                <w:bCs/>
                <w:i/>
                <w:sz w:val="20"/>
                <w:szCs w:val="20"/>
                <w:lang w:val="en-US"/>
              </w:rPr>
              <w:t>indica</w:t>
            </w:r>
          </w:p>
        </w:tc>
        <w:tc>
          <w:tcPr>
            <w:tcW w:w="1311" w:type="dxa"/>
          </w:tcPr>
          <w:p w14:paraId="71D67D0A"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18.0 ±0.5</w:t>
            </w:r>
          </w:p>
        </w:tc>
        <w:tc>
          <w:tcPr>
            <w:tcW w:w="1401" w:type="dxa"/>
          </w:tcPr>
          <w:p w14:paraId="4C87EB28"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14.0±0.5</w:t>
            </w:r>
          </w:p>
        </w:tc>
        <w:tc>
          <w:tcPr>
            <w:tcW w:w="1337" w:type="dxa"/>
          </w:tcPr>
          <w:p w14:paraId="1555478F"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15.0±0.5</w:t>
            </w:r>
          </w:p>
        </w:tc>
        <w:tc>
          <w:tcPr>
            <w:tcW w:w="1329" w:type="dxa"/>
          </w:tcPr>
          <w:p w14:paraId="03A6ED41"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5.0±0.5</w:t>
            </w:r>
          </w:p>
        </w:tc>
        <w:tc>
          <w:tcPr>
            <w:tcW w:w="1330" w:type="dxa"/>
          </w:tcPr>
          <w:p w14:paraId="35E881D9"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45.0</w:t>
            </w:r>
          </w:p>
        </w:tc>
        <w:tc>
          <w:tcPr>
            <w:tcW w:w="1324" w:type="dxa"/>
          </w:tcPr>
          <w:p w14:paraId="33CA3441"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0.00</w:t>
            </w:r>
          </w:p>
        </w:tc>
      </w:tr>
      <w:tr w:rsidR="00170798" w:rsidRPr="00FC1892" w14:paraId="40D904E7" w14:textId="77777777" w:rsidTr="00EE09AE">
        <w:tc>
          <w:tcPr>
            <w:tcW w:w="1328" w:type="dxa"/>
          </w:tcPr>
          <w:p w14:paraId="09C46FC0" w14:textId="77777777" w:rsidR="00170798" w:rsidRPr="00FC1892" w:rsidRDefault="00170798" w:rsidP="007905AA">
            <w:pPr>
              <w:spacing w:after="0" w:line="240" w:lineRule="auto"/>
              <w:jc w:val="both"/>
              <w:rPr>
                <w:rFonts w:cs="Calibri"/>
                <w:b/>
                <w:bCs/>
                <w:sz w:val="20"/>
                <w:szCs w:val="20"/>
                <w:lang w:val="en-US"/>
              </w:rPr>
            </w:pPr>
          </w:p>
        </w:tc>
        <w:tc>
          <w:tcPr>
            <w:tcW w:w="1311" w:type="dxa"/>
          </w:tcPr>
          <w:p w14:paraId="4FFFC209" w14:textId="77777777" w:rsidR="00170798" w:rsidRPr="00FC1892" w:rsidRDefault="00170798" w:rsidP="007905AA">
            <w:pPr>
              <w:spacing w:after="0" w:line="240" w:lineRule="auto"/>
              <w:jc w:val="both"/>
              <w:rPr>
                <w:rFonts w:cs="Calibri"/>
                <w:bCs/>
                <w:sz w:val="20"/>
                <w:szCs w:val="20"/>
                <w:lang w:val="en-US"/>
              </w:rPr>
            </w:pPr>
          </w:p>
        </w:tc>
        <w:tc>
          <w:tcPr>
            <w:tcW w:w="1401" w:type="dxa"/>
          </w:tcPr>
          <w:p w14:paraId="21C3B055" w14:textId="77777777" w:rsidR="00170798" w:rsidRPr="00FC1892" w:rsidRDefault="00170798" w:rsidP="007905AA">
            <w:pPr>
              <w:spacing w:after="0" w:line="240" w:lineRule="auto"/>
              <w:jc w:val="both"/>
              <w:rPr>
                <w:rFonts w:cs="Calibri"/>
                <w:b/>
                <w:bCs/>
                <w:sz w:val="20"/>
                <w:szCs w:val="20"/>
                <w:lang w:val="en-US"/>
              </w:rPr>
            </w:pPr>
            <w:r w:rsidRPr="00FC1892">
              <w:rPr>
                <w:rFonts w:cs="Calibri"/>
                <w:b/>
                <w:bCs/>
                <w:sz w:val="20"/>
                <w:szCs w:val="20"/>
                <w:lang w:val="en-US"/>
              </w:rPr>
              <w:t xml:space="preserve">Ethanolic </w:t>
            </w:r>
          </w:p>
        </w:tc>
        <w:tc>
          <w:tcPr>
            <w:tcW w:w="1337" w:type="dxa"/>
          </w:tcPr>
          <w:p w14:paraId="6B507748" w14:textId="77777777" w:rsidR="00170798" w:rsidRPr="00FC1892" w:rsidRDefault="00170798" w:rsidP="007905AA">
            <w:pPr>
              <w:spacing w:after="0" w:line="240" w:lineRule="auto"/>
              <w:jc w:val="both"/>
              <w:rPr>
                <w:rFonts w:cs="Calibri"/>
                <w:b/>
                <w:bCs/>
                <w:sz w:val="20"/>
                <w:szCs w:val="20"/>
                <w:lang w:val="en-US"/>
              </w:rPr>
            </w:pPr>
          </w:p>
        </w:tc>
        <w:tc>
          <w:tcPr>
            <w:tcW w:w="1329" w:type="dxa"/>
          </w:tcPr>
          <w:p w14:paraId="08FCED29" w14:textId="77777777" w:rsidR="00170798" w:rsidRPr="00FC1892" w:rsidRDefault="00170798" w:rsidP="007905AA">
            <w:pPr>
              <w:spacing w:after="0" w:line="240" w:lineRule="auto"/>
              <w:jc w:val="both"/>
              <w:rPr>
                <w:rFonts w:cs="Calibri"/>
                <w:bCs/>
                <w:sz w:val="20"/>
                <w:szCs w:val="20"/>
                <w:lang w:val="en-US"/>
              </w:rPr>
            </w:pPr>
          </w:p>
        </w:tc>
        <w:tc>
          <w:tcPr>
            <w:tcW w:w="1330" w:type="dxa"/>
          </w:tcPr>
          <w:p w14:paraId="6A22F5DD" w14:textId="77777777" w:rsidR="00170798" w:rsidRPr="00FC1892" w:rsidRDefault="00170798" w:rsidP="007905AA">
            <w:pPr>
              <w:spacing w:after="0" w:line="240" w:lineRule="auto"/>
              <w:jc w:val="both"/>
              <w:rPr>
                <w:rFonts w:cs="Calibri"/>
                <w:bCs/>
                <w:sz w:val="20"/>
                <w:szCs w:val="20"/>
                <w:lang w:val="en-US"/>
              </w:rPr>
            </w:pPr>
          </w:p>
        </w:tc>
        <w:tc>
          <w:tcPr>
            <w:tcW w:w="1324" w:type="dxa"/>
          </w:tcPr>
          <w:p w14:paraId="5A3F136C" w14:textId="77777777" w:rsidR="00170798" w:rsidRPr="00FC1892" w:rsidRDefault="00170798" w:rsidP="007905AA">
            <w:pPr>
              <w:spacing w:after="0" w:line="240" w:lineRule="auto"/>
              <w:jc w:val="both"/>
              <w:rPr>
                <w:rFonts w:cs="Calibri"/>
                <w:bCs/>
                <w:sz w:val="20"/>
                <w:szCs w:val="20"/>
                <w:lang w:val="en-US"/>
              </w:rPr>
            </w:pPr>
          </w:p>
        </w:tc>
      </w:tr>
      <w:tr w:rsidR="00170798" w:rsidRPr="00FC1892" w14:paraId="7CD2A45F" w14:textId="77777777" w:rsidTr="00EE09AE">
        <w:tc>
          <w:tcPr>
            <w:tcW w:w="1328" w:type="dxa"/>
          </w:tcPr>
          <w:p w14:paraId="609DF69F" w14:textId="77777777" w:rsidR="00170798" w:rsidRPr="00FC1892" w:rsidRDefault="00170798" w:rsidP="007905AA">
            <w:pPr>
              <w:spacing w:after="0" w:line="240" w:lineRule="auto"/>
              <w:jc w:val="both"/>
              <w:rPr>
                <w:rFonts w:cs="Calibri"/>
                <w:b/>
                <w:bCs/>
                <w:i/>
                <w:sz w:val="20"/>
                <w:szCs w:val="20"/>
                <w:lang w:val="en-US"/>
              </w:rPr>
            </w:pPr>
            <w:r w:rsidRPr="00FC1892">
              <w:rPr>
                <w:rFonts w:cs="Calibri"/>
                <w:b/>
                <w:bCs/>
                <w:i/>
                <w:sz w:val="20"/>
                <w:szCs w:val="20"/>
                <w:lang w:val="en-US"/>
              </w:rPr>
              <w:t>M. indica</w:t>
            </w:r>
          </w:p>
        </w:tc>
        <w:tc>
          <w:tcPr>
            <w:tcW w:w="1311" w:type="dxa"/>
          </w:tcPr>
          <w:p w14:paraId="270B1066"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24.5 ±0.5</w:t>
            </w:r>
          </w:p>
        </w:tc>
        <w:tc>
          <w:tcPr>
            <w:tcW w:w="1401" w:type="dxa"/>
          </w:tcPr>
          <w:p w14:paraId="6E80DC56"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19.0±0.5</w:t>
            </w:r>
          </w:p>
        </w:tc>
        <w:tc>
          <w:tcPr>
            <w:tcW w:w="1337" w:type="dxa"/>
          </w:tcPr>
          <w:p w14:paraId="6091D3CA"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15.0±0.5</w:t>
            </w:r>
          </w:p>
        </w:tc>
        <w:tc>
          <w:tcPr>
            <w:tcW w:w="1329" w:type="dxa"/>
          </w:tcPr>
          <w:p w14:paraId="5576D2A9"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7.0±0.5</w:t>
            </w:r>
          </w:p>
        </w:tc>
        <w:tc>
          <w:tcPr>
            <w:tcW w:w="1330" w:type="dxa"/>
          </w:tcPr>
          <w:p w14:paraId="4A7C74E9"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45.0</w:t>
            </w:r>
          </w:p>
        </w:tc>
        <w:tc>
          <w:tcPr>
            <w:tcW w:w="1324" w:type="dxa"/>
          </w:tcPr>
          <w:p w14:paraId="239DEE7B" w14:textId="77777777" w:rsidR="00170798" w:rsidRPr="00FC1892" w:rsidRDefault="00170798" w:rsidP="007905AA">
            <w:pPr>
              <w:spacing w:after="0" w:line="240" w:lineRule="auto"/>
              <w:jc w:val="both"/>
              <w:rPr>
                <w:rFonts w:cs="Calibri"/>
                <w:bCs/>
                <w:sz w:val="20"/>
                <w:szCs w:val="20"/>
                <w:lang w:val="en-US"/>
              </w:rPr>
            </w:pPr>
            <w:r w:rsidRPr="00FC1892">
              <w:rPr>
                <w:rFonts w:cs="Calibri"/>
                <w:bCs/>
                <w:sz w:val="20"/>
                <w:szCs w:val="20"/>
                <w:lang w:val="en-US"/>
              </w:rPr>
              <w:t>0.00</w:t>
            </w:r>
          </w:p>
        </w:tc>
      </w:tr>
    </w:tbl>
    <w:p w14:paraId="0157D1B1" w14:textId="77777777" w:rsidR="00EE09AE" w:rsidRPr="00FC1892" w:rsidRDefault="00EE09AE" w:rsidP="00EE09AE">
      <w:pPr>
        <w:spacing w:before="120" w:after="0" w:line="240" w:lineRule="auto"/>
        <w:jc w:val="both"/>
        <w:rPr>
          <w:rFonts w:cs="Calibri"/>
          <w:bCs/>
          <w:sz w:val="20"/>
          <w:szCs w:val="20"/>
          <w:lang w:val="en-US"/>
        </w:rPr>
      </w:pPr>
      <w:r w:rsidRPr="00FC1892">
        <w:rPr>
          <w:rFonts w:cs="Calibri"/>
          <w:b/>
          <w:bCs/>
          <w:sz w:val="20"/>
          <w:szCs w:val="20"/>
          <w:lang w:val="en-US"/>
        </w:rPr>
        <w:t xml:space="preserve">Table 4: Minimum Inhibitory Concentration and Minimum Bactericidal Concentration of </w:t>
      </w:r>
      <w:proofErr w:type="spellStart"/>
      <w:r w:rsidRPr="00FC1892">
        <w:rPr>
          <w:rFonts w:cs="Calibri"/>
          <w:b/>
          <w:bCs/>
          <w:i/>
          <w:sz w:val="20"/>
          <w:szCs w:val="20"/>
          <w:lang w:val="en-US"/>
        </w:rPr>
        <w:t>Mongifera</w:t>
      </w:r>
      <w:proofErr w:type="spellEnd"/>
      <w:r w:rsidRPr="00FC1892">
        <w:rPr>
          <w:rFonts w:cs="Calibri"/>
          <w:b/>
          <w:bCs/>
          <w:i/>
          <w:sz w:val="20"/>
          <w:szCs w:val="20"/>
          <w:lang w:val="en-US"/>
        </w:rPr>
        <w:t xml:space="preserve"> indica</w:t>
      </w:r>
      <w:r w:rsidRPr="00FC1892">
        <w:rPr>
          <w:rFonts w:cs="Calibri"/>
          <w:b/>
          <w:bCs/>
          <w:sz w:val="20"/>
          <w:szCs w:val="20"/>
          <w:lang w:val="en-US"/>
        </w:rPr>
        <w:t xml:space="preserve"> Leaves Extract against </w:t>
      </w:r>
      <w:r w:rsidRPr="00FC1892">
        <w:rPr>
          <w:rFonts w:cs="Calibri"/>
          <w:b/>
          <w:bCs/>
          <w:i/>
          <w:sz w:val="20"/>
          <w:szCs w:val="20"/>
          <w:lang w:val="en-US"/>
        </w:rPr>
        <w:t>S</w:t>
      </w:r>
      <w:r w:rsidRPr="00FC1892">
        <w:rPr>
          <w:rFonts w:cs="Calibri"/>
          <w:b/>
          <w:bCs/>
          <w:sz w:val="20"/>
          <w:szCs w:val="20"/>
          <w:lang w:val="en-US"/>
        </w:rPr>
        <w:t>.</w:t>
      </w:r>
      <w:r w:rsidRPr="00FC1892">
        <w:rPr>
          <w:rFonts w:cs="Calibri"/>
          <w:bCs/>
          <w:sz w:val="20"/>
          <w:szCs w:val="20"/>
          <w:lang w:val="en-US"/>
        </w:rPr>
        <w:t xml:space="preserve"> </w:t>
      </w:r>
      <w:r w:rsidRPr="00FC1892">
        <w:rPr>
          <w:rFonts w:cs="Calibri"/>
          <w:b/>
          <w:bCs/>
          <w:i/>
          <w:sz w:val="20"/>
          <w:szCs w:val="20"/>
          <w:lang w:val="en-US"/>
        </w:rPr>
        <w:t>aureus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1872"/>
        <w:gridCol w:w="1873"/>
        <w:gridCol w:w="1873"/>
        <w:gridCol w:w="1874"/>
      </w:tblGrid>
      <w:tr w:rsidR="00EE09AE" w:rsidRPr="00FC1892" w14:paraId="3ABB2613" w14:textId="77777777" w:rsidTr="007905AA">
        <w:tc>
          <w:tcPr>
            <w:tcW w:w="1915" w:type="dxa"/>
            <w:tcBorders>
              <w:top w:val="single" w:sz="4" w:space="0" w:color="auto"/>
              <w:bottom w:val="single" w:sz="4" w:space="0" w:color="auto"/>
            </w:tcBorders>
          </w:tcPr>
          <w:p w14:paraId="211430AB" w14:textId="77777777" w:rsidR="00EE09AE" w:rsidRPr="00FC1892" w:rsidRDefault="00EE09AE" w:rsidP="007905AA">
            <w:pPr>
              <w:spacing w:after="0" w:line="240" w:lineRule="auto"/>
              <w:jc w:val="both"/>
              <w:rPr>
                <w:rFonts w:cs="Calibri"/>
                <w:b/>
                <w:bCs/>
                <w:sz w:val="20"/>
                <w:szCs w:val="20"/>
                <w:lang w:val="en-US"/>
              </w:rPr>
            </w:pPr>
          </w:p>
        </w:tc>
        <w:tc>
          <w:tcPr>
            <w:tcW w:w="1915" w:type="dxa"/>
            <w:tcBorders>
              <w:top w:val="single" w:sz="4" w:space="0" w:color="auto"/>
              <w:bottom w:val="single" w:sz="4" w:space="0" w:color="auto"/>
            </w:tcBorders>
          </w:tcPr>
          <w:p w14:paraId="1E9BE0E6" w14:textId="77777777" w:rsidR="00EE09AE" w:rsidRPr="00FC1892" w:rsidRDefault="00EE09AE" w:rsidP="007905AA">
            <w:pPr>
              <w:spacing w:after="0" w:line="240" w:lineRule="auto"/>
              <w:jc w:val="both"/>
              <w:rPr>
                <w:rFonts w:cs="Calibri"/>
                <w:b/>
                <w:bCs/>
                <w:sz w:val="20"/>
                <w:szCs w:val="20"/>
                <w:lang w:val="en-US"/>
              </w:rPr>
            </w:pPr>
            <w:r w:rsidRPr="00FC1892">
              <w:rPr>
                <w:rFonts w:cs="Calibri"/>
                <w:b/>
                <w:bCs/>
                <w:sz w:val="20"/>
                <w:szCs w:val="20"/>
                <w:lang w:val="en-US"/>
              </w:rPr>
              <w:t>Aqueous  extract</w:t>
            </w:r>
          </w:p>
        </w:tc>
        <w:tc>
          <w:tcPr>
            <w:tcW w:w="1915" w:type="dxa"/>
            <w:tcBorders>
              <w:top w:val="single" w:sz="4" w:space="0" w:color="auto"/>
              <w:bottom w:val="single" w:sz="4" w:space="0" w:color="auto"/>
            </w:tcBorders>
          </w:tcPr>
          <w:p w14:paraId="5D0F8F30" w14:textId="77777777" w:rsidR="00EE09AE" w:rsidRPr="00FC1892" w:rsidRDefault="00EE09AE" w:rsidP="007905AA">
            <w:pPr>
              <w:spacing w:after="0" w:line="240" w:lineRule="auto"/>
              <w:jc w:val="both"/>
              <w:rPr>
                <w:rFonts w:cs="Calibri"/>
                <w:b/>
                <w:bCs/>
                <w:sz w:val="20"/>
                <w:szCs w:val="20"/>
                <w:lang w:val="en-US"/>
              </w:rPr>
            </w:pPr>
          </w:p>
        </w:tc>
        <w:tc>
          <w:tcPr>
            <w:tcW w:w="1915" w:type="dxa"/>
            <w:tcBorders>
              <w:top w:val="single" w:sz="4" w:space="0" w:color="auto"/>
              <w:bottom w:val="single" w:sz="4" w:space="0" w:color="auto"/>
            </w:tcBorders>
          </w:tcPr>
          <w:p w14:paraId="38F50C67" w14:textId="77777777" w:rsidR="00EE09AE" w:rsidRPr="00FC1892" w:rsidRDefault="00EE09AE" w:rsidP="007905AA">
            <w:pPr>
              <w:spacing w:after="0" w:line="240" w:lineRule="auto"/>
              <w:jc w:val="both"/>
              <w:rPr>
                <w:rFonts w:cs="Calibri"/>
                <w:b/>
                <w:bCs/>
                <w:sz w:val="20"/>
                <w:szCs w:val="20"/>
                <w:lang w:val="en-US"/>
              </w:rPr>
            </w:pPr>
            <w:r w:rsidRPr="00FC1892">
              <w:rPr>
                <w:rFonts w:cs="Calibri"/>
                <w:b/>
                <w:bCs/>
                <w:sz w:val="20"/>
                <w:szCs w:val="20"/>
                <w:lang w:val="en-US"/>
              </w:rPr>
              <w:t>Ethanol extract</w:t>
            </w:r>
          </w:p>
        </w:tc>
        <w:tc>
          <w:tcPr>
            <w:tcW w:w="1916" w:type="dxa"/>
            <w:tcBorders>
              <w:top w:val="single" w:sz="4" w:space="0" w:color="auto"/>
              <w:bottom w:val="single" w:sz="4" w:space="0" w:color="auto"/>
            </w:tcBorders>
          </w:tcPr>
          <w:p w14:paraId="2BE9930D" w14:textId="77777777" w:rsidR="00EE09AE" w:rsidRPr="00FC1892" w:rsidRDefault="00EE09AE" w:rsidP="007905AA">
            <w:pPr>
              <w:spacing w:after="0" w:line="240" w:lineRule="auto"/>
              <w:jc w:val="both"/>
              <w:rPr>
                <w:rFonts w:cs="Calibri"/>
                <w:b/>
                <w:bCs/>
                <w:sz w:val="20"/>
                <w:szCs w:val="20"/>
                <w:lang w:val="en-US"/>
              </w:rPr>
            </w:pPr>
          </w:p>
        </w:tc>
      </w:tr>
      <w:tr w:rsidR="00EE09AE" w:rsidRPr="00FC1892" w14:paraId="0138F5A9" w14:textId="77777777" w:rsidTr="007905AA">
        <w:tc>
          <w:tcPr>
            <w:tcW w:w="1915" w:type="dxa"/>
            <w:tcBorders>
              <w:top w:val="single" w:sz="4" w:space="0" w:color="auto"/>
            </w:tcBorders>
          </w:tcPr>
          <w:p w14:paraId="38B08444" w14:textId="77777777" w:rsidR="00EE09AE" w:rsidRPr="00FC1892" w:rsidRDefault="00EE09AE" w:rsidP="007905AA">
            <w:pPr>
              <w:spacing w:after="0" w:line="240" w:lineRule="auto"/>
              <w:jc w:val="both"/>
              <w:rPr>
                <w:rFonts w:cs="Calibri"/>
                <w:b/>
                <w:bCs/>
                <w:sz w:val="20"/>
                <w:szCs w:val="20"/>
                <w:lang w:val="en-US"/>
              </w:rPr>
            </w:pPr>
            <w:r w:rsidRPr="00FC1892">
              <w:rPr>
                <w:rFonts w:cs="Calibri"/>
                <w:b/>
                <w:bCs/>
                <w:sz w:val="20"/>
                <w:szCs w:val="20"/>
                <w:lang w:val="en-US"/>
              </w:rPr>
              <w:t>Isolates</w:t>
            </w:r>
          </w:p>
        </w:tc>
        <w:tc>
          <w:tcPr>
            <w:tcW w:w="1915" w:type="dxa"/>
            <w:tcBorders>
              <w:top w:val="single" w:sz="4" w:space="0" w:color="auto"/>
            </w:tcBorders>
          </w:tcPr>
          <w:p w14:paraId="66CEE49D" w14:textId="77777777" w:rsidR="00EE09AE" w:rsidRPr="00FC1892" w:rsidRDefault="00EE09AE" w:rsidP="007905AA">
            <w:pPr>
              <w:spacing w:after="0" w:line="240" w:lineRule="auto"/>
              <w:jc w:val="both"/>
              <w:rPr>
                <w:rFonts w:cs="Calibri"/>
                <w:b/>
                <w:bCs/>
                <w:sz w:val="20"/>
                <w:szCs w:val="20"/>
                <w:lang w:val="en-US"/>
              </w:rPr>
            </w:pPr>
            <w:r w:rsidRPr="00FC1892">
              <w:rPr>
                <w:rFonts w:cs="Calibri"/>
                <w:b/>
                <w:bCs/>
                <w:sz w:val="20"/>
                <w:szCs w:val="20"/>
                <w:lang w:val="en-US"/>
              </w:rPr>
              <w:t>MIC (Mg/mL)</w:t>
            </w:r>
          </w:p>
        </w:tc>
        <w:tc>
          <w:tcPr>
            <w:tcW w:w="1915" w:type="dxa"/>
            <w:tcBorders>
              <w:top w:val="single" w:sz="4" w:space="0" w:color="auto"/>
            </w:tcBorders>
          </w:tcPr>
          <w:p w14:paraId="2A2558EB" w14:textId="77777777" w:rsidR="00EE09AE" w:rsidRPr="00FC1892" w:rsidRDefault="00EE09AE" w:rsidP="007905AA">
            <w:pPr>
              <w:spacing w:after="0" w:line="240" w:lineRule="auto"/>
              <w:jc w:val="both"/>
              <w:rPr>
                <w:rFonts w:cs="Calibri"/>
                <w:b/>
                <w:bCs/>
                <w:sz w:val="20"/>
                <w:szCs w:val="20"/>
                <w:lang w:val="en-US"/>
              </w:rPr>
            </w:pPr>
            <w:r w:rsidRPr="00FC1892">
              <w:rPr>
                <w:rFonts w:cs="Calibri"/>
                <w:b/>
                <w:bCs/>
                <w:sz w:val="20"/>
                <w:szCs w:val="20"/>
                <w:lang w:val="en-US"/>
              </w:rPr>
              <w:t>MBC (Mg/mL)</w:t>
            </w:r>
          </w:p>
        </w:tc>
        <w:tc>
          <w:tcPr>
            <w:tcW w:w="1915" w:type="dxa"/>
            <w:tcBorders>
              <w:top w:val="single" w:sz="4" w:space="0" w:color="auto"/>
            </w:tcBorders>
          </w:tcPr>
          <w:p w14:paraId="75D0E8D7" w14:textId="77777777" w:rsidR="00EE09AE" w:rsidRPr="00FC1892" w:rsidRDefault="00EE09AE" w:rsidP="007905AA">
            <w:pPr>
              <w:spacing w:after="0" w:line="240" w:lineRule="auto"/>
              <w:jc w:val="both"/>
              <w:rPr>
                <w:rFonts w:cs="Calibri"/>
                <w:b/>
                <w:bCs/>
                <w:sz w:val="20"/>
                <w:szCs w:val="20"/>
                <w:lang w:val="en-US"/>
              </w:rPr>
            </w:pPr>
            <w:r w:rsidRPr="00FC1892">
              <w:rPr>
                <w:rFonts w:cs="Calibri"/>
                <w:b/>
                <w:bCs/>
                <w:sz w:val="20"/>
                <w:szCs w:val="20"/>
                <w:lang w:val="en-US"/>
              </w:rPr>
              <w:t>MIC (Mg/mL)</w:t>
            </w:r>
          </w:p>
        </w:tc>
        <w:tc>
          <w:tcPr>
            <w:tcW w:w="1916" w:type="dxa"/>
            <w:tcBorders>
              <w:top w:val="single" w:sz="4" w:space="0" w:color="auto"/>
            </w:tcBorders>
          </w:tcPr>
          <w:p w14:paraId="6A816628" w14:textId="77777777" w:rsidR="00EE09AE" w:rsidRPr="00FC1892" w:rsidRDefault="00EE09AE" w:rsidP="007905AA">
            <w:pPr>
              <w:spacing w:after="0" w:line="240" w:lineRule="auto"/>
              <w:jc w:val="both"/>
              <w:rPr>
                <w:rFonts w:cs="Calibri"/>
                <w:b/>
                <w:bCs/>
                <w:sz w:val="20"/>
                <w:szCs w:val="20"/>
                <w:lang w:val="en-US"/>
              </w:rPr>
            </w:pPr>
            <w:r w:rsidRPr="00FC1892">
              <w:rPr>
                <w:rFonts w:cs="Calibri"/>
                <w:b/>
                <w:bCs/>
                <w:sz w:val="20"/>
                <w:szCs w:val="20"/>
                <w:lang w:val="en-US"/>
              </w:rPr>
              <w:t>MBC (Mg/mL)</w:t>
            </w:r>
          </w:p>
        </w:tc>
      </w:tr>
      <w:tr w:rsidR="00EE09AE" w:rsidRPr="00FC1892" w14:paraId="306726AB" w14:textId="77777777" w:rsidTr="00EE09AE">
        <w:trPr>
          <w:trHeight w:val="125"/>
        </w:trPr>
        <w:tc>
          <w:tcPr>
            <w:tcW w:w="1915" w:type="dxa"/>
          </w:tcPr>
          <w:p w14:paraId="013501CE" w14:textId="77777777" w:rsidR="00EE09AE" w:rsidRPr="00FC1892" w:rsidRDefault="00EE09AE" w:rsidP="007905AA">
            <w:pPr>
              <w:spacing w:after="0" w:line="240" w:lineRule="auto"/>
              <w:jc w:val="both"/>
              <w:rPr>
                <w:rFonts w:cs="Calibri"/>
                <w:b/>
                <w:bCs/>
                <w:i/>
                <w:sz w:val="20"/>
                <w:szCs w:val="20"/>
                <w:lang w:val="en-US"/>
              </w:rPr>
            </w:pPr>
          </w:p>
        </w:tc>
        <w:tc>
          <w:tcPr>
            <w:tcW w:w="1915" w:type="dxa"/>
          </w:tcPr>
          <w:p w14:paraId="6992F228" w14:textId="77777777" w:rsidR="00EE09AE" w:rsidRPr="00FC1892" w:rsidRDefault="00EE09AE" w:rsidP="007905AA">
            <w:pPr>
              <w:spacing w:after="0" w:line="240" w:lineRule="auto"/>
              <w:jc w:val="both"/>
              <w:rPr>
                <w:rFonts w:cs="Calibri"/>
                <w:bCs/>
                <w:sz w:val="20"/>
                <w:szCs w:val="20"/>
                <w:lang w:val="en-US"/>
              </w:rPr>
            </w:pPr>
            <w:r w:rsidRPr="00FC1892">
              <w:rPr>
                <w:rFonts w:cs="Calibri"/>
                <w:bCs/>
                <w:sz w:val="20"/>
                <w:szCs w:val="20"/>
                <w:lang w:val="en-US"/>
              </w:rPr>
              <w:t>50</w:t>
            </w:r>
          </w:p>
        </w:tc>
        <w:tc>
          <w:tcPr>
            <w:tcW w:w="1915" w:type="dxa"/>
          </w:tcPr>
          <w:p w14:paraId="4560E852" w14:textId="77777777" w:rsidR="00EE09AE" w:rsidRPr="00FC1892" w:rsidRDefault="00EE09AE" w:rsidP="007905AA">
            <w:pPr>
              <w:spacing w:after="0" w:line="240" w:lineRule="auto"/>
              <w:jc w:val="both"/>
              <w:rPr>
                <w:rFonts w:cs="Calibri"/>
                <w:bCs/>
                <w:sz w:val="20"/>
                <w:szCs w:val="20"/>
                <w:lang w:val="en-US"/>
              </w:rPr>
            </w:pPr>
            <w:r w:rsidRPr="00FC1892">
              <w:rPr>
                <w:rFonts w:cs="Calibri"/>
                <w:bCs/>
                <w:sz w:val="20"/>
                <w:szCs w:val="20"/>
                <w:lang w:val="en-US"/>
              </w:rPr>
              <w:t>100</w:t>
            </w:r>
          </w:p>
        </w:tc>
        <w:tc>
          <w:tcPr>
            <w:tcW w:w="1915" w:type="dxa"/>
          </w:tcPr>
          <w:p w14:paraId="31BD5FB7" w14:textId="77777777" w:rsidR="00EE09AE" w:rsidRPr="00FC1892" w:rsidRDefault="00EE09AE" w:rsidP="007905AA">
            <w:pPr>
              <w:spacing w:after="0" w:line="240" w:lineRule="auto"/>
              <w:jc w:val="both"/>
              <w:rPr>
                <w:rFonts w:cs="Calibri"/>
                <w:bCs/>
                <w:sz w:val="20"/>
                <w:szCs w:val="20"/>
                <w:lang w:val="en-US"/>
              </w:rPr>
            </w:pPr>
            <w:r w:rsidRPr="00FC1892">
              <w:rPr>
                <w:rFonts w:cs="Calibri"/>
                <w:bCs/>
                <w:sz w:val="20"/>
                <w:szCs w:val="20"/>
                <w:lang w:val="en-US"/>
              </w:rPr>
              <w:t>50</w:t>
            </w:r>
          </w:p>
        </w:tc>
        <w:tc>
          <w:tcPr>
            <w:tcW w:w="1916" w:type="dxa"/>
          </w:tcPr>
          <w:p w14:paraId="490DC5B9" w14:textId="77777777" w:rsidR="00EE09AE" w:rsidRPr="00FC1892" w:rsidRDefault="00EE09AE" w:rsidP="007905AA">
            <w:pPr>
              <w:spacing w:after="0" w:line="240" w:lineRule="auto"/>
              <w:jc w:val="both"/>
              <w:rPr>
                <w:rFonts w:cs="Calibri"/>
                <w:bCs/>
                <w:sz w:val="20"/>
                <w:szCs w:val="20"/>
                <w:lang w:val="en-US"/>
              </w:rPr>
            </w:pPr>
            <w:r w:rsidRPr="00FC1892">
              <w:rPr>
                <w:rFonts w:cs="Calibri"/>
                <w:bCs/>
                <w:sz w:val="20"/>
                <w:szCs w:val="20"/>
                <w:lang w:val="en-US"/>
              </w:rPr>
              <w:t>100</w:t>
            </w:r>
          </w:p>
        </w:tc>
      </w:tr>
    </w:tbl>
    <w:p w14:paraId="6235F3D8" w14:textId="77777777" w:rsidR="00EE09AE" w:rsidRDefault="00EE09AE" w:rsidP="00EE09AE">
      <w:pPr>
        <w:spacing w:after="0" w:line="240" w:lineRule="auto"/>
        <w:jc w:val="both"/>
        <w:rPr>
          <w:rFonts w:cs="Calibri"/>
          <w:b/>
          <w:bCs/>
          <w:sz w:val="20"/>
          <w:szCs w:val="20"/>
          <w:lang w:val="en-US"/>
        </w:rPr>
        <w:sectPr w:rsidR="00EE09AE" w:rsidSect="00EE09AE">
          <w:type w:val="continuous"/>
          <w:pgSz w:w="12240" w:h="15840"/>
          <w:pgMar w:top="1440" w:right="1440" w:bottom="1440" w:left="1440" w:header="720" w:footer="720" w:gutter="0"/>
          <w:cols w:space="720"/>
          <w:docGrid w:linePitch="360"/>
        </w:sectPr>
      </w:pPr>
    </w:p>
    <w:p w14:paraId="00434D82" w14:textId="7E3C1671" w:rsidR="00EE09AE" w:rsidRPr="0026309A" w:rsidRDefault="00EE09AE" w:rsidP="00EE09AE">
      <w:pPr>
        <w:spacing w:after="0" w:line="240" w:lineRule="auto"/>
        <w:jc w:val="both"/>
        <w:rPr>
          <w:rFonts w:cs="Calibri"/>
          <w:b/>
          <w:bCs/>
          <w:szCs w:val="20"/>
          <w:lang w:val="en-US"/>
        </w:rPr>
      </w:pPr>
      <w:r w:rsidRPr="0026309A">
        <w:rPr>
          <w:rFonts w:cs="Calibri"/>
          <w:b/>
          <w:bCs/>
          <w:szCs w:val="20"/>
          <w:lang w:val="en-US"/>
        </w:rPr>
        <w:lastRenderedPageBreak/>
        <w:t>DISCUSSION</w:t>
      </w:r>
    </w:p>
    <w:p w14:paraId="31013078" w14:textId="77777777"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The qualitative phytochemical screening of </w:t>
      </w:r>
      <w:proofErr w:type="spellStart"/>
      <w:r w:rsidRPr="00FC1892">
        <w:rPr>
          <w:rFonts w:cs="Calibri"/>
          <w:bCs/>
          <w:i/>
          <w:sz w:val="20"/>
          <w:szCs w:val="20"/>
          <w:lang w:val="en-US"/>
        </w:rPr>
        <w:t>Mangifera</w:t>
      </w:r>
      <w:proofErr w:type="spellEnd"/>
      <w:r w:rsidRPr="00FC1892">
        <w:rPr>
          <w:rFonts w:cs="Calibri"/>
          <w:bCs/>
          <w:i/>
          <w:sz w:val="20"/>
          <w:szCs w:val="20"/>
          <w:lang w:val="en-US"/>
        </w:rPr>
        <w:t xml:space="preserve"> indica</w:t>
      </w:r>
      <w:r w:rsidRPr="00FC1892">
        <w:rPr>
          <w:rFonts w:cs="Calibri"/>
          <w:bCs/>
          <w:sz w:val="20"/>
          <w:szCs w:val="20"/>
          <w:lang w:val="en-US"/>
        </w:rPr>
        <w:t xml:space="preserve"> leaf extracts showed the presence of several phytochemical constituents including tannins, </w:t>
      </w:r>
      <w:proofErr w:type="spellStart"/>
      <w:r w:rsidRPr="00FC1892">
        <w:rPr>
          <w:rFonts w:cs="Calibri"/>
          <w:bCs/>
          <w:sz w:val="20"/>
          <w:szCs w:val="20"/>
          <w:lang w:val="en-US"/>
        </w:rPr>
        <w:t>saponins</w:t>
      </w:r>
      <w:proofErr w:type="spellEnd"/>
      <w:r w:rsidRPr="00FC1892">
        <w:rPr>
          <w:rFonts w:cs="Calibri"/>
          <w:bCs/>
          <w:sz w:val="20"/>
          <w:szCs w:val="20"/>
          <w:lang w:val="en-US"/>
        </w:rPr>
        <w:t xml:space="preserve">, phenols, alkaloids, and </w:t>
      </w:r>
      <w:proofErr w:type="spellStart"/>
      <w:r w:rsidRPr="00FC1892">
        <w:rPr>
          <w:rFonts w:cs="Calibri"/>
          <w:bCs/>
          <w:sz w:val="20"/>
          <w:szCs w:val="20"/>
          <w:lang w:val="en-US"/>
        </w:rPr>
        <w:t>quinones</w:t>
      </w:r>
      <w:proofErr w:type="spellEnd"/>
      <w:r w:rsidRPr="00FC1892">
        <w:rPr>
          <w:rFonts w:cs="Calibri"/>
          <w:bCs/>
          <w:sz w:val="20"/>
          <w:szCs w:val="20"/>
          <w:lang w:val="en-US"/>
        </w:rPr>
        <w:t xml:space="preserve">. These classes of compounds have been commonly associated with antibacterial effects in medicinal plants, providing a biochemical basis for antimicrobial activity observed in this study aligned the study of </w:t>
      </w:r>
      <w:proofErr w:type="spellStart"/>
      <w:r w:rsidRPr="00FC1892">
        <w:rPr>
          <w:rFonts w:cs="Calibri"/>
          <w:bCs/>
          <w:sz w:val="20"/>
          <w:szCs w:val="20"/>
          <w:lang w:val="en-US"/>
        </w:rPr>
        <w:t>Alaiya</w:t>
      </w:r>
      <w:proofErr w:type="spellEnd"/>
      <w:r w:rsidRPr="00FC1892">
        <w:rPr>
          <w:rFonts w:cs="Calibri"/>
          <w:bCs/>
          <w:sz w:val="20"/>
          <w:szCs w:val="20"/>
          <w:lang w:val="en-US"/>
        </w:rPr>
        <w:t xml:space="preserve"> and </w:t>
      </w:r>
      <w:proofErr w:type="spellStart"/>
      <w:r w:rsidRPr="00FC1892">
        <w:rPr>
          <w:rFonts w:cs="Calibri"/>
          <w:bCs/>
          <w:sz w:val="20"/>
          <w:szCs w:val="20"/>
          <w:lang w:val="en-US"/>
        </w:rPr>
        <w:t>Odeniyi</w:t>
      </w:r>
      <w:proofErr w:type="spellEnd"/>
      <w:r w:rsidRPr="00FC1892">
        <w:rPr>
          <w:rFonts w:cs="Calibri"/>
          <w:bCs/>
          <w:sz w:val="20"/>
          <w:szCs w:val="20"/>
          <w:lang w:val="en-US"/>
        </w:rPr>
        <w:t xml:space="preserve"> (2023) and also </w:t>
      </w:r>
      <w:proofErr w:type="spellStart"/>
      <w:r w:rsidRPr="00FC1892">
        <w:rPr>
          <w:rFonts w:cs="Calibri"/>
          <w:bCs/>
          <w:sz w:val="20"/>
          <w:szCs w:val="20"/>
          <w:lang w:val="en-US"/>
        </w:rPr>
        <w:t>Haniyyah</w:t>
      </w:r>
      <w:proofErr w:type="spellEnd"/>
      <w:r w:rsidRPr="00FC1892">
        <w:rPr>
          <w:rFonts w:cs="Calibri"/>
          <w:bCs/>
          <w:sz w:val="20"/>
          <w:szCs w:val="20"/>
          <w:lang w:val="en-US"/>
        </w:rPr>
        <w:t xml:space="preserve"> </w:t>
      </w:r>
      <w:r w:rsidRPr="00FC1892">
        <w:rPr>
          <w:rFonts w:cs="Calibri"/>
          <w:bCs/>
          <w:i/>
          <w:sz w:val="20"/>
          <w:szCs w:val="20"/>
          <w:lang w:val="en-US"/>
        </w:rPr>
        <w:t>et al.,</w:t>
      </w:r>
      <w:r w:rsidRPr="00FC1892">
        <w:rPr>
          <w:rFonts w:cs="Calibri"/>
          <w:bCs/>
          <w:sz w:val="20"/>
          <w:szCs w:val="20"/>
          <w:lang w:val="en-US"/>
        </w:rPr>
        <w:t xml:space="preserve"> (2026). The differential distribution of phytochemicals between ethanolic and aqueous extracts likely reflects the varied solubility of these compounds in polar versus semi-polar solvents. </w:t>
      </w:r>
    </w:p>
    <w:p w14:paraId="15AD46F0" w14:textId="77777777"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Both aqueous and ethanolic extracts demonstrated antibacterial activity against </w:t>
      </w:r>
      <w:r w:rsidRPr="00FC1892">
        <w:rPr>
          <w:rFonts w:cs="Calibri"/>
          <w:bCs/>
          <w:i/>
          <w:sz w:val="20"/>
          <w:szCs w:val="20"/>
          <w:lang w:val="en-US"/>
        </w:rPr>
        <w:t>Staphylococcus</w:t>
      </w:r>
      <w:r w:rsidRPr="00FC1892">
        <w:rPr>
          <w:rFonts w:cs="Calibri"/>
          <w:bCs/>
          <w:sz w:val="20"/>
          <w:szCs w:val="20"/>
          <w:lang w:val="en-US"/>
        </w:rPr>
        <w:t xml:space="preserve"> </w:t>
      </w:r>
      <w:r w:rsidRPr="00FC1892">
        <w:rPr>
          <w:rFonts w:cs="Calibri"/>
          <w:bCs/>
          <w:i/>
          <w:sz w:val="20"/>
          <w:szCs w:val="20"/>
          <w:lang w:val="en-US"/>
        </w:rPr>
        <w:t>aureus</w:t>
      </w:r>
      <w:r w:rsidRPr="00FC1892">
        <w:rPr>
          <w:rFonts w:cs="Calibri"/>
          <w:bCs/>
          <w:sz w:val="20"/>
          <w:szCs w:val="20"/>
          <w:lang w:val="en-US"/>
        </w:rPr>
        <w:t xml:space="preserve">, albeit with different degrees of inhibition which is in line with the phytochemical profile. The ethanolic extract exhibited larger zones of inhibition than the aqueous extract across tested concentrations, indicating stronger bioactivity. Similar trends have been reported in the study conducted by </w:t>
      </w:r>
      <w:proofErr w:type="spellStart"/>
      <w:r w:rsidRPr="00FC1892">
        <w:rPr>
          <w:rFonts w:cs="Calibri"/>
          <w:bCs/>
          <w:sz w:val="20"/>
          <w:szCs w:val="20"/>
          <w:lang w:val="en-US"/>
        </w:rPr>
        <w:t>AbdulHamid</w:t>
      </w:r>
      <w:proofErr w:type="spellEnd"/>
      <w:r w:rsidRPr="00FC1892">
        <w:rPr>
          <w:rFonts w:cs="Calibri"/>
          <w:bCs/>
          <w:sz w:val="20"/>
          <w:szCs w:val="20"/>
          <w:lang w:val="en-US"/>
        </w:rPr>
        <w:t xml:space="preserve"> and </w:t>
      </w:r>
      <w:proofErr w:type="spellStart"/>
      <w:r w:rsidRPr="00FC1892">
        <w:rPr>
          <w:rFonts w:cs="Calibri"/>
          <w:bCs/>
          <w:sz w:val="20"/>
          <w:szCs w:val="20"/>
          <w:lang w:val="en-US"/>
        </w:rPr>
        <w:t>Razak</w:t>
      </w:r>
      <w:proofErr w:type="spellEnd"/>
      <w:r w:rsidRPr="00FC1892">
        <w:rPr>
          <w:rFonts w:cs="Calibri"/>
          <w:bCs/>
          <w:sz w:val="20"/>
          <w:szCs w:val="20"/>
          <w:lang w:val="en-US"/>
        </w:rPr>
        <w:t xml:space="preserve"> (2025) where </w:t>
      </w:r>
      <w:r w:rsidRPr="00FC1892">
        <w:rPr>
          <w:rFonts w:cs="Calibri"/>
          <w:bCs/>
          <w:i/>
          <w:sz w:val="20"/>
          <w:szCs w:val="20"/>
          <w:lang w:val="en-US"/>
        </w:rPr>
        <w:t>M. indica</w:t>
      </w:r>
      <w:r w:rsidRPr="00FC1892">
        <w:rPr>
          <w:rFonts w:cs="Calibri"/>
          <w:bCs/>
          <w:sz w:val="20"/>
          <w:szCs w:val="20"/>
          <w:lang w:val="en-US"/>
        </w:rPr>
        <w:t xml:space="preserve"> leaf extracts showed dose-dependent inhibitory effects against </w:t>
      </w:r>
      <w:r w:rsidRPr="00FC1892">
        <w:rPr>
          <w:rFonts w:cs="Calibri"/>
          <w:bCs/>
          <w:i/>
          <w:sz w:val="20"/>
          <w:szCs w:val="20"/>
          <w:lang w:val="en-US"/>
        </w:rPr>
        <w:t>S. aureus</w:t>
      </w:r>
      <w:r w:rsidRPr="00FC1892">
        <w:rPr>
          <w:rFonts w:cs="Calibri"/>
          <w:bCs/>
          <w:sz w:val="20"/>
          <w:szCs w:val="20"/>
          <w:lang w:val="en-US"/>
        </w:rPr>
        <w:t xml:space="preserve">, with ethanolic extracts outperforming aqueous preparations in antibacterial assays. This observation suggests that compounds more efficiently extracted with ethanol, such as phenolic acids and flavonoids, contribute significantly to the antimicrobial effect. Although in a study conducted by Suleiman </w:t>
      </w:r>
      <w:r w:rsidRPr="00FC1892">
        <w:rPr>
          <w:rFonts w:cs="Calibri"/>
          <w:bCs/>
          <w:i/>
          <w:sz w:val="20"/>
          <w:szCs w:val="20"/>
          <w:lang w:val="en-US"/>
        </w:rPr>
        <w:t>et al.</w:t>
      </w:r>
      <w:r w:rsidRPr="00FC1892">
        <w:rPr>
          <w:rFonts w:cs="Calibri"/>
          <w:bCs/>
          <w:sz w:val="20"/>
          <w:szCs w:val="20"/>
          <w:lang w:val="en-US"/>
        </w:rPr>
        <w:t xml:space="preserve"> (2023) found the leaf and bark </w:t>
      </w:r>
      <w:r w:rsidRPr="00FC1892">
        <w:rPr>
          <w:rFonts w:cs="Calibri"/>
          <w:bCs/>
          <w:i/>
          <w:sz w:val="20"/>
          <w:szCs w:val="20"/>
          <w:lang w:val="en-US"/>
        </w:rPr>
        <w:t xml:space="preserve">of </w:t>
      </w:r>
      <w:proofErr w:type="spellStart"/>
      <w:r w:rsidRPr="00FC1892">
        <w:rPr>
          <w:rFonts w:cs="Calibri"/>
          <w:bCs/>
          <w:i/>
          <w:sz w:val="20"/>
          <w:szCs w:val="20"/>
          <w:lang w:val="en-US"/>
        </w:rPr>
        <w:t>M.indica</w:t>
      </w:r>
      <w:proofErr w:type="spellEnd"/>
      <w:r w:rsidRPr="00FC1892">
        <w:rPr>
          <w:rFonts w:cs="Calibri"/>
          <w:bCs/>
          <w:sz w:val="20"/>
          <w:szCs w:val="20"/>
          <w:lang w:val="en-US"/>
        </w:rPr>
        <w:t xml:space="preserve"> having high antibacterial activity against methicillin-resistant </w:t>
      </w:r>
      <w:proofErr w:type="spellStart"/>
      <w:r w:rsidRPr="00FC1892">
        <w:rPr>
          <w:rFonts w:cs="Calibri"/>
          <w:bCs/>
          <w:i/>
          <w:sz w:val="20"/>
          <w:szCs w:val="20"/>
          <w:lang w:val="en-US"/>
        </w:rPr>
        <w:t>S.aureus</w:t>
      </w:r>
      <w:proofErr w:type="spellEnd"/>
    </w:p>
    <w:p w14:paraId="338710CC" w14:textId="77777777"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The determination of MIC and MBC values provided quantitative support for the antibacterial potential of mango leaf extracts. Both extracts inhibited </w:t>
      </w:r>
      <w:r w:rsidRPr="00FC1892">
        <w:rPr>
          <w:rFonts w:cs="Calibri"/>
          <w:bCs/>
          <w:i/>
          <w:sz w:val="20"/>
          <w:szCs w:val="20"/>
          <w:lang w:val="en-US"/>
        </w:rPr>
        <w:t xml:space="preserve">S. aureus </w:t>
      </w:r>
      <w:r w:rsidRPr="00FC1892">
        <w:rPr>
          <w:rFonts w:cs="Calibri"/>
          <w:bCs/>
          <w:sz w:val="20"/>
          <w:szCs w:val="20"/>
          <w:lang w:val="en-US"/>
        </w:rPr>
        <w:t xml:space="preserve">growth at 50 mg/mL and were bactericidal at 100 mg/mL, this in consistent with reports of </w:t>
      </w:r>
      <w:proofErr w:type="spellStart"/>
      <w:r w:rsidRPr="00FC1892">
        <w:rPr>
          <w:rFonts w:cs="Calibri"/>
          <w:bCs/>
          <w:sz w:val="20"/>
          <w:szCs w:val="20"/>
          <w:lang w:val="en-US"/>
        </w:rPr>
        <w:t>AbdulHamid</w:t>
      </w:r>
      <w:proofErr w:type="spellEnd"/>
      <w:r w:rsidRPr="00FC1892">
        <w:rPr>
          <w:rFonts w:cs="Calibri"/>
          <w:bCs/>
          <w:sz w:val="20"/>
          <w:szCs w:val="20"/>
          <w:lang w:val="en-US"/>
        </w:rPr>
        <w:t xml:space="preserve"> and </w:t>
      </w:r>
      <w:proofErr w:type="spellStart"/>
      <w:r w:rsidRPr="00FC1892">
        <w:rPr>
          <w:rFonts w:cs="Calibri"/>
          <w:bCs/>
          <w:sz w:val="20"/>
          <w:szCs w:val="20"/>
          <w:lang w:val="en-US"/>
        </w:rPr>
        <w:t>Razak</w:t>
      </w:r>
      <w:proofErr w:type="spellEnd"/>
      <w:r w:rsidRPr="00FC1892">
        <w:rPr>
          <w:rFonts w:cs="Calibri"/>
          <w:bCs/>
          <w:sz w:val="20"/>
          <w:szCs w:val="20"/>
          <w:lang w:val="en-US"/>
        </w:rPr>
        <w:t xml:space="preserve"> (2025) who reported that </w:t>
      </w:r>
      <w:r w:rsidRPr="00FC1892">
        <w:rPr>
          <w:rFonts w:cs="Calibri"/>
          <w:bCs/>
          <w:i/>
          <w:sz w:val="20"/>
          <w:szCs w:val="20"/>
          <w:lang w:val="en-US"/>
        </w:rPr>
        <w:t>M. indica</w:t>
      </w:r>
      <w:r w:rsidRPr="00FC1892">
        <w:rPr>
          <w:rFonts w:cs="Calibri"/>
          <w:bCs/>
          <w:sz w:val="20"/>
          <w:szCs w:val="20"/>
          <w:lang w:val="en-US"/>
        </w:rPr>
        <w:t xml:space="preserve"> </w:t>
      </w:r>
      <w:r w:rsidRPr="00FC1892">
        <w:rPr>
          <w:rFonts w:cs="Calibri"/>
          <w:bCs/>
          <w:sz w:val="20"/>
          <w:szCs w:val="20"/>
          <w:lang w:val="en-US"/>
        </w:rPr>
        <w:lastRenderedPageBreak/>
        <w:t xml:space="preserve">extracts exhibit both bacteriostatic and bactericidal properties against Gram-positive organisms, including MRSA and drug-resistant strains. They also emphasized that these activities are enhanced when extracts are combined with conventional antibiotics or delivered via novel formulations, highlighting the potential for therapeutic applications beyond crude extract use. The antibacterial effects observed are consistent with broader evidence that mango leaf extracts are active against a range of microbial pathogens and are promising sources of antimicrobial agents as reported by </w:t>
      </w:r>
      <w:proofErr w:type="spellStart"/>
      <w:r w:rsidRPr="00FC1892">
        <w:rPr>
          <w:rFonts w:cs="Calibri"/>
          <w:bCs/>
          <w:sz w:val="20"/>
          <w:szCs w:val="20"/>
          <w:lang w:val="en-US"/>
        </w:rPr>
        <w:t>Alaiya</w:t>
      </w:r>
      <w:proofErr w:type="spellEnd"/>
      <w:r w:rsidRPr="00FC1892">
        <w:rPr>
          <w:rFonts w:cs="Calibri"/>
          <w:bCs/>
          <w:sz w:val="20"/>
          <w:szCs w:val="20"/>
          <w:lang w:val="en-US"/>
        </w:rPr>
        <w:t xml:space="preserve"> and </w:t>
      </w:r>
      <w:proofErr w:type="spellStart"/>
      <w:r w:rsidRPr="00FC1892">
        <w:rPr>
          <w:rFonts w:cs="Calibri"/>
          <w:bCs/>
          <w:sz w:val="20"/>
          <w:szCs w:val="20"/>
          <w:lang w:val="en-US"/>
        </w:rPr>
        <w:t>Odeniyi</w:t>
      </w:r>
      <w:proofErr w:type="spellEnd"/>
      <w:r w:rsidRPr="00FC1892">
        <w:rPr>
          <w:rFonts w:cs="Calibri"/>
          <w:bCs/>
          <w:sz w:val="20"/>
          <w:szCs w:val="20"/>
          <w:lang w:val="en-US"/>
        </w:rPr>
        <w:t xml:space="preserve">, (2023). Suleiman </w:t>
      </w:r>
      <w:r w:rsidRPr="00FC1892">
        <w:rPr>
          <w:rFonts w:cs="Calibri"/>
          <w:bCs/>
          <w:i/>
          <w:sz w:val="20"/>
          <w:szCs w:val="20"/>
          <w:lang w:val="en-US"/>
        </w:rPr>
        <w:t>et al.,</w:t>
      </w:r>
      <w:r w:rsidRPr="00FC1892">
        <w:rPr>
          <w:rFonts w:cs="Calibri"/>
          <w:bCs/>
          <w:sz w:val="20"/>
          <w:szCs w:val="20"/>
          <w:lang w:val="en-US"/>
        </w:rPr>
        <w:t xml:space="preserve"> (2023) also reported that the bark and leaf extracts of </w:t>
      </w:r>
      <w:r w:rsidRPr="00FC1892">
        <w:rPr>
          <w:rFonts w:cs="Calibri"/>
          <w:bCs/>
          <w:i/>
          <w:iCs/>
          <w:sz w:val="20"/>
          <w:szCs w:val="20"/>
          <w:lang w:val="en-US"/>
        </w:rPr>
        <w:t>M. indica</w:t>
      </w:r>
      <w:r w:rsidRPr="00FC1892">
        <w:rPr>
          <w:rFonts w:cs="Calibri"/>
          <w:bCs/>
          <w:sz w:val="20"/>
          <w:szCs w:val="20"/>
          <w:lang w:val="en-US"/>
        </w:rPr>
        <w:t xml:space="preserve"> had significant antibacterial activity against the isolates when compared to standard antibiotics such as </w:t>
      </w:r>
      <w:proofErr w:type="spellStart"/>
      <w:r w:rsidRPr="00FC1892">
        <w:rPr>
          <w:rFonts w:cs="Calibri"/>
          <w:bCs/>
          <w:sz w:val="20"/>
          <w:szCs w:val="20"/>
          <w:lang w:val="en-US"/>
        </w:rPr>
        <w:t>Cloxacillin</w:t>
      </w:r>
      <w:proofErr w:type="spellEnd"/>
      <w:r w:rsidRPr="00FC1892">
        <w:rPr>
          <w:rFonts w:cs="Calibri"/>
          <w:bCs/>
          <w:sz w:val="20"/>
          <w:szCs w:val="20"/>
          <w:lang w:val="en-US"/>
        </w:rPr>
        <w:t xml:space="preserve">, Augmentin, </w:t>
      </w:r>
      <w:proofErr w:type="spellStart"/>
      <w:r w:rsidRPr="00FC1892">
        <w:rPr>
          <w:rFonts w:cs="Calibri"/>
          <w:bCs/>
          <w:sz w:val="20"/>
          <w:szCs w:val="20"/>
          <w:lang w:val="en-US"/>
        </w:rPr>
        <w:t>Ceftraroline</w:t>
      </w:r>
      <w:proofErr w:type="spellEnd"/>
      <w:r w:rsidRPr="00FC1892">
        <w:rPr>
          <w:rFonts w:cs="Calibri"/>
          <w:bCs/>
          <w:sz w:val="20"/>
          <w:szCs w:val="20"/>
          <w:lang w:val="en-US"/>
        </w:rPr>
        <w:t xml:space="preserve"> and </w:t>
      </w:r>
      <w:proofErr w:type="spellStart"/>
      <w:r w:rsidRPr="00FC1892">
        <w:rPr>
          <w:rFonts w:cs="Calibri"/>
          <w:bCs/>
          <w:sz w:val="20"/>
          <w:szCs w:val="20"/>
          <w:lang w:val="en-US"/>
        </w:rPr>
        <w:t>Ceftriazone</w:t>
      </w:r>
      <w:proofErr w:type="spellEnd"/>
      <w:r w:rsidRPr="00FC1892">
        <w:rPr>
          <w:rFonts w:cs="Calibri"/>
          <w:bCs/>
          <w:sz w:val="20"/>
          <w:szCs w:val="20"/>
          <w:lang w:val="en-US"/>
        </w:rPr>
        <w:t xml:space="preserve"> for </w:t>
      </w:r>
      <w:proofErr w:type="spellStart"/>
      <w:r w:rsidRPr="00FC1892">
        <w:rPr>
          <w:rFonts w:cs="Calibri"/>
          <w:bCs/>
          <w:i/>
          <w:sz w:val="20"/>
          <w:szCs w:val="20"/>
          <w:lang w:val="en-US"/>
        </w:rPr>
        <w:t>S.aureus</w:t>
      </w:r>
      <w:proofErr w:type="spellEnd"/>
      <w:r w:rsidRPr="00FC1892">
        <w:rPr>
          <w:rFonts w:cs="Calibri"/>
          <w:bCs/>
          <w:sz w:val="20"/>
          <w:szCs w:val="20"/>
          <w:lang w:val="en-US"/>
        </w:rPr>
        <w:t>.</w:t>
      </w:r>
    </w:p>
    <w:p w14:paraId="5F9C3102" w14:textId="77777777"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According to </w:t>
      </w:r>
      <w:proofErr w:type="spellStart"/>
      <w:r w:rsidRPr="00FC1892">
        <w:rPr>
          <w:rFonts w:cs="Calibri"/>
          <w:bCs/>
          <w:sz w:val="20"/>
          <w:szCs w:val="20"/>
          <w:lang w:val="en-US"/>
        </w:rPr>
        <w:t>Alaiya</w:t>
      </w:r>
      <w:proofErr w:type="spellEnd"/>
      <w:r w:rsidRPr="00FC1892">
        <w:rPr>
          <w:rFonts w:cs="Calibri"/>
          <w:bCs/>
          <w:sz w:val="20"/>
          <w:szCs w:val="20"/>
          <w:lang w:val="en-US"/>
        </w:rPr>
        <w:t xml:space="preserve"> and </w:t>
      </w:r>
      <w:proofErr w:type="spellStart"/>
      <w:r w:rsidRPr="00FC1892">
        <w:rPr>
          <w:rFonts w:cs="Calibri"/>
          <w:bCs/>
          <w:sz w:val="20"/>
          <w:szCs w:val="20"/>
          <w:lang w:val="en-US"/>
        </w:rPr>
        <w:t>Odeniyi</w:t>
      </w:r>
      <w:proofErr w:type="spellEnd"/>
      <w:r w:rsidRPr="00FC1892">
        <w:rPr>
          <w:rFonts w:cs="Calibri"/>
          <w:bCs/>
          <w:sz w:val="20"/>
          <w:szCs w:val="20"/>
          <w:lang w:val="en-US"/>
        </w:rPr>
        <w:t xml:space="preserve"> (2023), phytochemicals such tannins, phenols, and </w:t>
      </w:r>
      <w:proofErr w:type="spellStart"/>
      <w:r w:rsidRPr="00FC1892">
        <w:rPr>
          <w:rFonts w:cs="Calibri"/>
          <w:bCs/>
          <w:sz w:val="20"/>
          <w:szCs w:val="20"/>
          <w:lang w:val="en-US"/>
        </w:rPr>
        <w:t>saponins</w:t>
      </w:r>
      <w:proofErr w:type="spellEnd"/>
      <w:r w:rsidRPr="00FC1892">
        <w:rPr>
          <w:rFonts w:cs="Calibri"/>
          <w:bCs/>
          <w:sz w:val="20"/>
          <w:szCs w:val="20"/>
          <w:lang w:val="en-US"/>
        </w:rPr>
        <w:t xml:space="preserve"> can interfere with nucleic acid production, damage bacterial cell walls, and inhibit enzyme functions, all of which can lower bacterial activity.  Although such intricate demonstration was not carried out in this study routes of action have been suggested in recent studies investigating plant-derived antimicrobials as stated by </w:t>
      </w:r>
      <w:proofErr w:type="spellStart"/>
      <w:r w:rsidRPr="00FC1892">
        <w:rPr>
          <w:rFonts w:cs="Calibri"/>
          <w:bCs/>
          <w:sz w:val="20"/>
          <w:szCs w:val="20"/>
          <w:lang w:val="en-US"/>
        </w:rPr>
        <w:t>AbdulHamid</w:t>
      </w:r>
      <w:proofErr w:type="spellEnd"/>
      <w:r w:rsidRPr="00FC1892">
        <w:rPr>
          <w:rFonts w:cs="Calibri"/>
          <w:bCs/>
          <w:sz w:val="20"/>
          <w:szCs w:val="20"/>
          <w:lang w:val="en-US"/>
        </w:rPr>
        <w:t xml:space="preserve"> and </w:t>
      </w:r>
      <w:proofErr w:type="spellStart"/>
      <w:r w:rsidRPr="00FC1892">
        <w:rPr>
          <w:rFonts w:cs="Calibri"/>
          <w:bCs/>
          <w:sz w:val="20"/>
          <w:szCs w:val="20"/>
          <w:lang w:val="en-US"/>
        </w:rPr>
        <w:t>Razak</w:t>
      </w:r>
      <w:proofErr w:type="spellEnd"/>
      <w:r w:rsidRPr="00FC1892">
        <w:rPr>
          <w:rFonts w:cs="Calibri"/>
          <w:bCs/>
          <w:sz w:val="20"/>
          <w:szCs w:val="20"/>
          <w:lang w:val="en-US"/>
        </w:rPr>
        <w:t xml:space="preserve">, (2025). The consistent concentration-dependent inhibition seen here aligns with the documented bioactive potential of </w:t>
      </w:r>
      <w:r w:rsidRPr="00FC1892">
        <w:rPr>
          <w:rFonts w:cs="Calibri"/>
          <w:bCs/>
          <w:i/>
          <w:sz w:val="20"/>
          <w:szCs w:val="20"/>
          <w:lang w:val="en-US"/>
        </w:rPr>
        <w:t>M. indica</w:t>
      </w:r>
      <w:r w:rsidRPr="00FC1892">
        <w:rPr>
          <w:rFonts w:cs="Calibri"/>
          <w:bCs/>
          <w:sz w:val="20"/>
          <w:szCs w:val="20"/>
          <w:lang w:val="en-US"/>
        </w:rPr>
        <w:t xml:space="preserve"> phytochemicals.</w:t>
      </w:r>
    </w:p>
    <w:p w14:paraId="0610FDD6" w14:textId="77777777" w:rsidR="00EE09AE" w:rsidRPr="0026309A" w:rsidRDefault="00EE09AE" w:rsidP="0026309A">
      <w:pPr>
        <w:spacing w:before="120" w:after="0" w:line="240" w:lineRule="auto"/>
        <w:jc w:val="both"/>
        <w:rPr>
          <w:rFonts w:cs="Calibri"/>
          <w:b/>
          <w:bCs/>
          <w:szCs w:val="20"/>
          <w:lang w:val="en-US"/>
        </w:rPr>
      </w:pPr>
      <w:r w:rsidRPr="0026309A">
        <w:rPr>
          <w:rFonts w:cs="Calibri"/>
          <w:b/>
          <w:bCs/>
          <w:szCs w:val="20"/>
          <w:lang w:val="en-US"/>
        </w:rPr>
        <w:t>CONCLUSION</w:t>
      </w:r>
    </w:p>
    <w:p w14:paraId="54E6A1A1" w14:textId="77777777" w:rsidR="00EE09AE" w:rsidRPr="00FC1892" w:rsidRDefault="00EE09AE" w:rsidP="00EE09AE">
      <w:pPr>
        <w:spacing w:after="0" w:line="240" w:lineRule="auto"/>
        <w:jc w:val="both"/>
        <w:rPr>
          <w:rFonts w:cs="Calibri"/>
          <w:b/>
          <w:bCs/>
          <w:sz w:val="20"/>
          <w:szCs w:val="20"/>
          <w:lang w:val="en-US"/>
        </w:rPr>
      </w:pPr>
      <w:r w:rsidRPr="00FC1892">
        <w:rPr>
          <w:rFonts w:cs="Calibri"/>
          <w:bCs/>
          <w:sz w:val="20"/>
          <w:szCs w:val="20"/>
          <w:lang w:val="en-US"/>
        </w:rPr>
        <w:t xml:space="preserve">The study confirmed that </w:t>
      </w:r>
      <w:proofErr w:type="spellStart"/>
      <w:r w:rsidRPr="00FC1892">
        <w:rPr>
          <w:rFonts w:cs="Calibri"/>
          <w:bCs/>
          <w:i/>
          <w:sz w:val="20"/>
          <w:szCs w:val="20"/>
          <w:lang w:val="en-US"/>
        </w:rPr>
        <w:t>Mangifera</w:t>
      </w:r>
      <w:proofErr w:type="spellEnd"/>
      <w:r w:rsidRPr="00FC1892">
        <w:rPr>
          <w:rFonts w:cs="Calibri"/>
          <w:bCs/>
          <w:i/>
          <w:sz w:val="20"/>
          <w:szCs w:val="20"/>
          <w:lang w:val="en-US"/>
        </w:rPr>
        <w:t xml:space="preserve"> indica</w:t>
      </w:r>
      <w:r w:rsidRPr="00FC1892">
        <w:rPr>
          <w:rFonts w:cs="Calibri"/>
          <w:bCs/>
          <w:sz w:val="20"/>
          <w:szCs w:val="20"/>
          <w:lang w:val="en-US"/>
        </w:rPr>
        <w:t xml:space="preserve"> leaf extracts exhibited significant antibacterial activity against </w:t>
      </w:r>
      <w:r w:rsidRPr="00FC1892">
        <w:rPr>
          <w:rFonts w:cs="Calibri"/>
          <w:bCs/>
          <w:i/>
          <w:sz w:val="20"/>
          <w:szCs w:val="20"/>
          <w:lang w:val="en-US"/>
        </w:rPr>
        <w:t>Staphylococcus aureus,</w:t>
      </w:r>
      <w:r w:rsidRPr="00FC1892">
        <w:rPr>
          <w:rFonts w:cs="Calibri"/>
          <w:bCs/>
          <w:sz w:val="20"/>
          <w:szCs w:val="20"/>
          <w:lang w:val="en-US"/>
        </w:rPr>
        <w:t xml:space="preserve"> with the ethanolic extract showing greater potency than the aqueous extract. Both extracts inhibited bacterial growth at a Minimum Inhibitory Concentration (MIC) of 50 mg/mL and achieved complete bactericidal activity at a Minimum Bactericidal Concentration (MBC) of 100 </w:t>
      </w:r>
      <w:r w:rsidRPr="00FC1892">
        <w:rPr>
          <w:rFonts w:cs="Calibri"/>
          <w:bCs/>
          <w:sz w:val="20"/>
          <w:szCs w:val="20"/>
          <w:lang w:val="en-US"/>
        </w:rPr>
        <w:lastRenderedPageBreak/>
        <w:t>mg/</w:t>
      </w:r>
      <w:proofErr w:type="spellStart"/>
      <w:r w:rsidRPr="00FC1892">
        <w:rPr>
          <w:rFonts w:cs="Calibri"/>
          <w:bCs/>
          <w:sz w:val="20"/>
          <w:szCs w:val="20"/>
          <w:lang w:val="en-US"/>
        </w:rPr>
        <w:t>mL.</w:t>
      </w:r>
      <w:proofErr w:type="spellEnd"/>
      <w:r w:rsidRPr="00FC1892">
        <w:rPr>
          <w:rFonts w:cs="Calibri"/>
          <w:bCs/>
          <w:sz w:val="20"/>
          <w:szCs w:val="20"/>
          <w:lang w:val="en-US"/>
        </w:rPr>
        <w:t xml:space="preserve"> These findings demonstrate that </w:t>
      </w:r>
      <w:r w:rsidRPr="00FC1892">
        <w:rPr>
          <w:rFonts w:cs="Calibri"/>
          <w:bCs/>
          <w:i/>
          <w:sz w:val="20"/>
          <w:szCs w:val="20"/>
          <w:lang w:val="en-US"/>
        </w:rPr>
        <w:t>M. indica</w:t>
      </w:r>
      <w:r w:rsidRPr="00FC1892">
        <w:rPr>
          <w:rFonts w:cs="Calibri"/>
          <w:bCs/>
          <w:sz w:val="20"/>
          <w:szCs w:val="20"/>
          <w:lang w:val="en-US"/>
        </w:rPr>
        <w:t xml:space="preserve"> leaves contain bioactive compounds capable of both inhibiting and killing </w:t>
      </w:r>
      <w:r w:rsidRPr="00FC1892">
        <w:rPr>
          <w:rFonts w:cs="Calibri"/>
          <w:bCs/>
          <w:i/>
          <w:sz w:val="20"/>
          <w:szCs w:val="20"/>
          <w:lang w:val="en-US"/>
        </w:rPr>
        <w:t>S. aureus,</w:t>
      </w:r>
      <w:r w:rsidRPr="00FC1892">
        <w:rPr>
          <w:rFonts w:cs="Calibri"/>
          <w:bCs/>
          <w:sz w:val="20"/>
          <w:szCs w:val="20"/>
          <w:lang w:val="en-US"/>
        </w:rPr>
        <w:t xml:space="preserve"> confirming their potential as natural antimicrobial agents for controlling infections caused by this pathogen</w:t>
      </w:r>
    </w:p>
    <w:p w14:paraId="2ED381BE" w14:textId="77777777" w:rsidR="00EE09AE" w:rsidRPr="00FC1892" w:rsidRDefault="00EE09AE" w:rsidP="00EE09AE">
      <w:pPr>
        <w:spacing w:after="0" w:line="240" w:lineRule="auto"/>
        <w:jc w:val="both"/>
        <w:rPr>
          <w:rFonts w:cs="Calibri"/>
          <w:b/>
          <w:bCs/>
          <w:sz w:val="20"/>
          <w:szCs w:val="20"/>
          <w:lang w:val="en-US"/>
        </w:rPr>
      </w:pPr>
      <w:r w:rsidRPr="00FC1892">
        <w:rPr>
          <w:rFonts w:cs="Calibri"/>
          <w:b/>
          <w:bCs/>
          <w:sz w:val="20"/>
          <w:szCs w:val="20"/>
          <w:lang w:val="en-US"/>
        </w:rPr>
        <w:t>REFERENCES</w:t>
      </w:r>
    </w:p>
    <w:p w14:paraId="03253137" w14:textId="0BAAA19B"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Abdul Hamid, N. N. and </w:t>
      </w:r>
      <w:proofErr w:type="spellStart"/>
      <w:r w:rsidRPr="00FC1892">
        <w:rPr>
          <w:rFonts w:cs="Calibri"/>
          <w:bCs/>
          <w:sz w:val="20"/>
          <w:szCs w:val="20"/>
          <w:lang w:val="en-US"/>
        </w:rPr>
        <w:t>Razak</w:t>
      </w:r>
      <w:proofErr w:type="spellEnd"/>
      <w:r w:rsidRPr="00FC1892">
        <w:rPr>
          <w:rFonts w:cs="Calibri"/>
          <w:bCs/>
          <w:sz w:val="20"/>
          <w:szCs w:val="20"/>
          <w:lang w:val="en-US"/>
        </w:rPr>
        <w:t xml:space="preserve">, W. R. W. A. (2025). Antibacterial Properties of </w:t>
      </w:r>
      <w:proofErr w:type="spellStart"/>
      <w:r w:rsidRPr="00FC1892">
        <w:rPr>
          <w:rFonts w:cs="Calibri"/>
          <w:bCs/>
          <w:i/>
          <w:sz w:val="20"/>
          <w:szCs w:val="20"/>
          <w:lang w:val="en-US"/>
        </w:rPr>
        <w:t>Mangifera</w:t>
      </w:r>
      <w:proofErr w:type="spellEnd"/>
      <w:r w:rsidRPr="00FC1892">
        <w:rPr>
          <w:rFonts w:cs="Calibri"/>
          <w:bCs/>
          <w:i/>
          <w:sz w:val="20"/>
          <w:szCs w:val="20"/>
          <w:lang w:val="en-US"/>
        </w:rPr>
        <w:t xml:space="preserve"> indica</w:t>
      </w:r>
      <w:r w:rsidRPr="00FC1892">
        <w:rPr>
          <w:rFonts w:cs="Calibri"/>
          <w:bCs/>
          <w:sz w:val="20"/>
          <w:szCs w:val="20"/>
          <w:lang w:val="en-US"/>
        </w:rPr>
        <w:t xml:space="preserve"> leaf extract. </w:t>
      </w:r>
      <w:r w:rsidRPr="00FC1892">
        <w:rPr>
          <w:rFonts w:cs="Calibri"/>
          <w:bCs/>
          <w:i/>
          <w:sz w:val="20"/>
          <w:szCs w:val="20"/>
          <w:lang w:val="en-US"/>
        </w:rPr>
        <w:t>Junior Science Communication</w:t>
      </w:r>
      <w:r w:rsidRPr="00FC1892">
        <w:rPr>
          <w:rFonts w:cs="Calibri"/>
          <w:bCs/>
          <w:sz w:val="20"/>
          <w:szCs w:val="20"/>
          <w:lang w:val="en-US"/>
        </w:rPr>
        <w:t>. 7(2): 11-25</w:t>
      </w:r>
    </w:p>
    <w:p w14:paraId="44DDC0A1" w14:textId="184DB614"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Abebe</w:t>
      </w:r>
      <w:proofErr w:type="spellEnd"/>
      <w:r w:rsidRPr="00FC1892">
        <w:rPr>
          <w:rFonts w:cs="Calibri"/>
          <w:bCs/>
          <w:sz w:val="20"/>
          <w:szCs w:val="20"/>
          <w:lang w:val="en-US"/>
        </w:rPr>
        <w:t xml:space="preserve">, A.A.; </w:t>
      </w:r>
      <w:proofErr w:type="spellStart"/>
      <w:r w:rsidRPr="00FC1892">
        <w:rPr>
          <w:rFonts w:cs="Calibri"/>
          <w:bCs/>
          <w:sz w:val="20"/>
          <w:szCs w:val="20"/>
          <w:lang w:val="en-US"/>
        </w:rPr>
        <w:t>Birh</w:t>
      </w:r>
      <w:r>
        <w:rPr>
          <w:rFonts w:cs="Calibri"/>
          <w:bCs/>
          <w:sz w:val="20"/>
          <w:szCs w:val="20"/>
          <w:lang w:val="en-US"/>
        </w:rPr>
        <w:t>anu</w:t>
      </w:r>
      <w:proofErr w:type="spellEnd"/>
      <w:r>
        <w:rPr>
          <w:rFonts w:cs="Calibri"/>
          <w:bCs/>
          <w:sz w:val="20"/>
          <w:szCs w:val="20"/>
          <w:lang w:val="en-US"/>
        </w:rPr>
        <w:t xml:space="preserve">, A.G. Methicillin Resistant </w:t>
      </w:r>
      <w:r w:rsidRPr="00FC1892">
        <w:rPr>
          <w:rFonts w:cs="Calibri"/>
          <w:bCs/>
          <w:i/>
          <w:iCs/>
          <w:sz w:val="20"/>
          <w:szCs w:val="20"/>
          <w:lang w:val="en-US"/>
        </w:rPr>
        <w:t>Staphylococcus aureus</w:t>
      </w:r>
      <w:r w:rsidRPr="00FC1892">
        <w:rPr>
          <w:rFonts w:cs="Calibri"/>
          <w:bCs/>
          <w:sz w:val="20"/>
          <w:szCs w:val="20"/>
          <w:lang w:val="en-US"/>
        </w:rPr>
        <w:t xml:space="preserve">: Molecular </w:t>
      </w:r>
      <w:r w:rsidRPr="00FC1892">
        <w:rPr>
          <w:rFonts w:cs="Calibri"/>
          <w:bCs/>
          <w:sz w:val="20"/>
          <w:szCs w:val="20"/>
          <w:lang w:val="en-US"/>
        </w:rPr>
        <w:tab/>
      </w:r>
      <w:r>
        <w:rPr>
          <w:rFonts w:cs="Calibri"/>
          <w:bCs/>
          <w:sz w:val="20"/>
          <w:szCs w:val="20"/>
          <w:lang w:val="en-US"/>
        </w:rPr>
        <w:t xml:space="preserve">Mechanisms </w:t>
      </w:r>
      <w:r w:rsidRPr="00FC1892">
        <w:rPr>
          <w:rFonts w:cs="Calibri"/>
          <w:bCs/>
          <w:sz w:val="20"/>
          <w:szCs w:val="20"/>
          <w:lang w:val="en-US"/>
        </w:rPr>
        <w:t>Underlying Drug Resistance Development and Novel Strategies to</w:t>
      </w:r>
      <w:r>
        <w:rPr>
          <w:rFonts w:cs="Calibri"/>
          <w:bCs/>
          <w:sz w:val="20"/>
          <w:szCs w:val="20"/>
          <w:lang w:val="en-US"/>
        </w:rPr>
        <w:t xml:space="preserve"> </w:t>
      </w:r>
      <w:r w:rsidRPr="00FC1892">
        <w:rPr>
          <w:rFonts w:cs="Calibri"/>
          <w:bCs/>
          <w:sz w:val="20"/>
          <w:szCs w:val="20"/>
          <w:lang w:val="en-US"/>
        </w:rPr>
        <w:t>Combat.</w:t>
      </w:r>
      <w:r>
        <w:rPr>
          <w:rFonts w:cs="Calibri"/>
          <w:bCs/>
          <w:sz w:val="20"/>
          <w:szCs w:val="20"/>
          <w:lang w:val="en-US"/>
        </w:rPr>
        <w:t xml:space="preserve"> </w:t>
      </w:r>
      <w:proofErr w:type="spellStart"/>
      <w:r w:rsidRPr="00FC1892">
        <w:rPr>
          <w:rFonts w:cs="Calibri"/>
          <w:bCs/>
          <w:i/>
          <w:iCs/>
          <w:sz w:val="20"/>
          <w:szCs w:val="20"/>
          <w:lang w:val="en-US"/>
        </w:rPr>
        <w:t>Infecectious</w:t>
      </w:r>
      <w:proofErr w:type="spellEnd"/>
      <w:r w:rsidRPr="00FC1892">
        <w:rPr>
          <w:rFonts w:cs="Calibri"/>
          <w:bCs/>
          <w:i/>
          <w:iCs/>
          <w:sz w:val="20"/>
          <w:szCs w:val="20"/>
          <w:lang w:val="en-US"/>
        </w:rPr>
        <w:t xml:space="preserve"> Drug Resistance. </w:t>
      </w:r>
      <w:r w:rsidRPr="00FC1892">
        <w:rPr>
          <w:rFonts w:cs="Calibri"/>
          <w:b/>
          <w:bCs/>
          <w:sz w:val="20"/>
          <w:szCs w:val="20"/>
          <w:lang w:val="en-US"/>
        </w:rPr>
        <w:t>2023</w:t>
      </w:r>
      <w:r w:rsidRPr="00FC1892">
        <w:rPr>
          <w:rFonts w:cs="Calibri"/>
          <w:bCs/>
          <w:sz w:val="20"/>
          <w:szCs w:val="20"/>
          <w:lang w:val="en-US"/>
        </w:rPr>
        <w:t>, </w:t>
      </w:r>
      <w:r w:rsidRPr="00FC1892">
        <w:rPr>
          <w:rFonts w:cs="Calibri"/>
          <w:bCs/>
          <w:i/>
          <w:iCs/>
          <w:sz w:val="20"/>
          <w:szCs w:val="20"/>
          <w:lang w:val="en-US"/>
        </w:rPr>
        <w:t>16</w:t>
      </w:r>
      <w:r w:rsidRPr="00FC1892">
        <w:rPr>
          <w:rFonts w:cs="Calibri"/>
          <w:bCs/>
          <w:sz w:val="20"/>
          <w:szCs w:val="20"/>
          <w:lang w:val="en-US"/>
        </w:rPr>
        <w:t>, 7641–7662.</w:t>
      </w:r>
    </w:p>
    <w:p w14:paraId="0A33BC6E" w14:textId="7F0A12C6" w:rsidR="00EE09AE" w:rsidRPr="00FC1892" w:rsidRDefault="00EE09AE" w:rsidP="00EE09AE">
      <w:pPr>
        <w:spacing w:after="0" w:line="240" w:lineRule="auto"/>
        <w:jc w:val="both"/>
        <w:rPr>
          <w:rFonts w:cs="Calibri"/>
          <w:bCs/>
          <w:i/>
          <w:sz w:val="20"/>
          <w:szCs w:val="20"/>
          <w:lang w:val="en-US"/>
        </w:rPr>
      </w:pPr>
      <w:proofErr w:type="spellStart"/>
      <w:r w:rsidRPr="00FC1892">
        <w:rPr>
          <w:rFonts w:cs="Calibri"/>
          <w:bCs/>
          <w:sz w:val="20"/>
          <w:szCs w:val="20"/>
          <w:lang w:val="en-US"/>
        </w:rPr>
        <w:t>Abubakar</w:t>
      </w:r>
      <w:proofErr w:type="spellEnd"/>
      <w:r w:rsidRPr="00FC1892">
        <w:rPr>
          <w:rFonts w:cs="Calibri"/>
          <w:bCs/>
          <w:sz w:val="20"/>
          <w:szCs w:val="20"/>
          <w:lang w:val="en-US"/>
        </w:rPr>
        <w:t xml:space="preserve">, A. R. and </w:t>
      </w:r>
      <w:proofErr w:type="spellStart"/>
      <w:r w:rsidRPr="00FC1892">
        <w:rPr>
          <w:rFonts w:cs="Calibri"/>
          <w:bCs/>
          <w:sz w:val="20"/>
          <w:szCs w:val="20"/>
          <w:lang w:val="en-US"/>
        </w:rPr>
        <w:t>Haque</w:t>
      </w:r>
      <w:proofErr w:type="spellEnd"/>
      <w:r w:rsidRPr="00FC1892">
        <w:rPr>
          <w:rFonts w:cs="Calibri"/>
          <w:bCs/>
          <w:sz w:val="20"/>
          <w:szCs w:val="20"/>
          <w:lang w:val="en-US"/>
        </w:rPr>
        <w:t>, M. (2020). P</w:t>
      </w:r>
      <w:r>
        <w:rPr>
          <w:rFonts w:cs="Calibri"/>
          <w:bCs/>
          <w:sz w:val="20"/>
          <w:szCs w:val="20"/>
          <w:lang w:val="en-US"/>
        </w:rPr>
        <w:t xml:space="preserve">reparation of Medicinal Plants: </w:t>
      </w:r>
      <w:r w:rsidRPr="00FC1892">
        <w:rPr>
          <w:rFonts w:cs="Calibri"/>
          <w:bCs/>
          <w:sz w:val="20"/>
          <w:szCs w:val="20"/>
          <w:lang w:val="en-US"/>
        </w:rPr>
        <w:t xml:space="preserve">Basic Extraction and Fractionation Procedures for Experimental Purposes. </w:t>
      </w:r>
      <w:r w:rsidRPr="00FC1892">
        <w:rPr>
          <w:rFonts w:cs="Calibri"/>
          <w:bCs/>
          <w:i/>
          <w:sz w:val="20"/>
          <w:szCs w:val="20"/>
          <w:lang w:val="en-US"/>
        </w:rPr>
        <w:t xml:space="preserve">Journal of Pharmacy and </w:t>
      </w:r>
      <w:proofErr w:type="spellStart"/>
      <w:r w:rsidRPr="00FC1892">
        <w:rPr>
          <w:rFonts w:cs="Calibri"/>
          <w:bCs/>
          <w:i/>
          <w:sz w:val="20"/>
          <w:szCs w:val="20"/>
          <w:lang w:val="en-US"/>
        </w:rPr>
        <w:t>BioAllied</w:t>
      </w:r>
      <w:proofErr w:type="spellEnd"/>
      <w:r w:rsidRPr="00FC1892">
        <w:rPr>
          <w:rFonts w:cs="Calibri"/>
          <w:bCs/>
          <w:i/>
          <w:sz w:val="20"/>
          <w:szCs w:val="20"/>
          <w:lang w:val="en-US"/>
        </w:rPr>
        <w:t xml:space="preserve"> </w:t>
      </w:r>
      <w:r w:rsidRPr="00FC1892">
        <w:rPr>
          <w:rFonts w:cs="Calibri"/>
          <w:bCs/>
          <w:i/>
          <w:sz w:val="20"/>
          <w:szCs w:val="20"/>
          <w:lang w:val="en-US"/>
        </w:rPr>
        <w:tab/>
        <w:t>Sciences, 12(1): 1–10.</w:t>
      </w:r>
    </w:p>
    <w:p w14:paraId="7DD08D91" w14:textId="20F73787"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Alabi</w:t>
      </w:r>
      <w:proofErr w:type="spellEnd"/>
      <w:r w:rsidRPr="00FC1892">
        <w:rPr>
          <w:rFonts w:cs="Calibri"/>
          <w:bCs/>
          <w:sz w:val="20"/>
          <w:szCs w:val="20"/>
          <w:lang w:val="en-US"/>
        </w:rPr>
        <w:t xml:space="preserve">, E. D., </w:t>
      </w:r>
      <w:proofErr w:type="spellStart"/>
      <w:r w:rsidRPr="00FC1892">
        <w:rPr>
          <w:rFonts w:cs="Calibri"/>
          <w:bCs/>
          <w:sz w:val="20"/>
          <w:szCs w:val="20"/>
          <w:lang w:val="en-US"/>
        </w:rPr>
        <w:t>Abdullahi</w:t>
      </w:r>
      <w:proofErr w:type="spellEnd"/>
      <w:r w:rsidRPr="00FC1892">
        <w:rPr>
          <w:rFonts w:cs="Calibri"/>
          <w:bCs/>
          <w:sz w:val="20"/>
          <w:szCs w:val="20"/>
          <w:lang w:val="en-US"/>
        </w:rPr>
        <w:t xml:space="preserve">, K., Mahmud, H. S., &amp; </w:t>
      </w:r>
      <w:proofErr w:type="spellStart"/>
      <w:r w:rsidRPr="00FC1892">
        <w:rPr>
          <w:rFonts w:cs="Calibri"/>
          <w:bCs/>
          <w:sz w:val="20"/>
          <w:szCs w:val="20"/>
          <w:lang w:val="en-US"/>
        </w:rPr>
        <w:t>Adesoji</w:t>
      </w:r>
      <w:proofErr w:type="spellEnd"/>
      <w:r w:rsidRPr="00FC1892">
        <w:rPr>
          <w:rFonts w:cs="Calibri"/>
          <w:bCs/>
          <w:sz w:val="20"/>
          <w:szCs w:val="20"/>
          <w:lang w:val="en-US"/>
        </w:rPr>
        <w:t>, A. T. (20</w:t>
      </w:r>
      <w:r>
        <w:rPr>
          <w:rFonts w:cs="Calibri"/>
          <w:bCs/>
          <w:sz w:val="20"/>
          <w:szCs w:val="20"/>
          <w:lang w:val="en-US"/>
        </w:rPr>
        <w:t xml:space="preserve">26). Molecular Characterization of </w:t>
      </w:r>
      <w:r w:rsidRPr="00FC1892">
        <w:rPr>
          <w:rFonts w:cs="Calibri"/>
          <w:bCs/>
          <w:sz w:val="20"/>
          <w:szCs w:val="20"/>
          <w:lang w:val="en-US"/>
        </w:rPr>
        <w:t>Methicill</w:t>
      </w:r>
      <w:r>
        <w:rPr>
          <w:rFonts w:cs="Calibri"/>
          <w:bCs/>
          <w:sz w:val="20"/>
          <w:szCs w:val="20"/>
          <w:lang w:val="en-US"/>
        </w:rPr>
        <w:t xml:space="preserve">in and Aminoglycoside-Resistant </w:t>
      </w:r>
      <w:r w:rsidRPr="00FC1892">
        <w:rPr>
          <w:rFonts w:cs="Calibri"/>
          <w:bCs/>
          <w:sz w:val="20"/>
          <w:szCs w:val="20"/>
          <w:lang w:val="en-US"/>
        </w:rPr>
        <w:t>Staphylococcus Species from Drinking</w:t>
      </w:r>
      <w:r>
        <w:rPr>
          <w:rFonts w:cs="Calibri"/>
          <w:bCs/>
          <w:sz w:val="20"/>
          <w:szCs w:val="20"/>
          <w:lang w:val="en-US"/>
        </w:rPr>
        <w:t xml:space="preserve"> </w:t>
      </w:r>
      <w:r w:rsidRPr="00FC1892">
        <w:rPr>
          <w:rFonts w:cs="Calibri"/>
          <w:bCs/>
          <w:sz w:val="20"/>
          <w:szCs w:val="20"/>
          <w:lang w:val="en-US"/>
        </w:rPr>
        <w:t>Water</w:t>
      </w:r>
      <w:r>
        <w:rPr>
          <w:rFonts w:cs="Calibri"/>
          <w:bCs/>
          <w:sz w:val="20"/>
          <w:szCs w:val="20"/>
          <w:lang w:val="en-US"/>
        </w:rPr>
        <w:t xml:space="preserve"> and </w:t>
      </w:r>
      <w:r w:rsidRPr="00FC1892">
        <w:rPr>
          <w:rFonts w:cs="Calibri"/>
          <w:bCs/>
          <w:sz w:val="20"/>
          <w:szCs w:val="20"/>
          <w:lang w:val="en-US"/>
        </w:rPr>
        <w:t>Clinical Sam</w:t>
      </w:r>
      <w:r>
        <w:rPr>
          <w:rFonts w:cs="Calibri"/>
          <w:bCs/>
          <w:sz w:val="20"/>
          <w:szCs w:val="20"/>
          <w:lang w:val="en-US"/>
        </w:rPr>
        <w:t xml:space="preserve">ples in </w:t>
      </w:r>
      <w:proofErr w:type="spellStart"/>
      <w:r>
        <w:rPr>
          <w:rFonts w:cs="Calibri"/>
          <w:bCs/>
          <w:sz w:val="20"/>
          <w:szCs w:val="20"/>
          <w:lang w:val="en-US"/>
        </w:rPr>
        <w:t>Dutsin</w:t>
      </w:r>
      <w:proofErr w:type="spellEnd"/>
      <w:r>
        <w:rPr>
          <w:rFonts w:cs="Calibri"/>
          <w:bCs/>
          <w:sz w:val="20"/>
          <w:szCs w:val="20"/>
          <w:lang w:val="en-US"/>
        </w:rPr>
        <w:t xml:space="preserve">-Ma, Northwestern Nigeria. </w:t>
      </w:r>
      <w:r>
        <w:rPr>
          <w:rFonts w:cs="Calibri"/>
          <w:bCs/>
          <w:i/>
          <w:iCs/>
          <w:sz w:val="20"/>
          <w:szCs w:val="20"/>
          <w:lang w:val="en-US"/>
        </w:rPr>
        <w:t xml:space="preserve">Journal of </w:t>
      </w:r>
      <w:r w:rsidRPr="00FC1892">
        <w:rPr>
          <w:rFonts w:cs="Calibri"/>
          <w:bCs/>
          <w:i/>
          <w:iCs/>
          <w:sz w:val="20"/>
          <w:szCs w:val="20"/>
          <w:lang w:val="en-US"/>
        </w:rPr>
        <w:t>Epidemiology and Global Health</w:t>
      </w:r>
      <w:r w:rsidRPr="00FC1892">
        <w:rPr>
          <w:rFonts w:cs="Calibri"/>
          <w:bCs/>
          <w:sz w:val="20"/>
          <w:szCs w:val="20"/>
          <w:lang w:val="en-US"/>
        </w:rPr>
        <w:t xml:space="preserve">, </w:t>
      </w:r>
      <w:r w:rsidRPr="00FC1892">
        <w:rPr>
          <w:rFonts w:cs="Calibri"/>
          <w:bCs/>
          <w:i/>
          <w:iCs/>
          <w:sz w:val="20"/>
          <w:szCs w:val="20"/>
          <w:lang w:val="en-US"/>
        </w:rPr>
        <w:t>16</w:t>
      </w:r>
      <w:r w:rsidRPr="00FC1892">
        <w:rPr>
          <w:rFonts w:cs="Calibri"/>
          <w:bCs/>
          <w:sz w:val="20"/>
          <w:szCs w:val="20"/>
          <w:lang w:val="en-US"/>
        </w:rPr>
        <w:t>(1). https://doi.org/10.1007/s44197-026-00605-z</w:t>
      </w:r>
    </w:p>
    <w:p w14:paraId="44D3EA10" w14:textId="19DB9626"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Alaiya</w:t>
      </w:r>
      <w:proofErr w:type="spellEnd"/>
      <w:r w:rsidRPr="00FC1892">
        <w:rPr>
          <w:rFonts w:cs="Calibri"/>
          <w:bCs/>
          <w:sz w:val="20"/>
          <w:szCs w:val="20"/>
          <w:lang w:val="en-US"/>
        </w:rPr>
        <w:t xml:space="preserve">, M. A. and </w:t>
      </w:r>
      <w:proofErr w:type="spellStart"/>
      <w:r w:rsidRPr="00FC1892">
        <w:rPr>
          <w:rFonts w:cs="Calibri"/>
          <w:bCs/>
          <w:sz w:val="20"/>
          <w:szCs w:val="20"/>
          <w:lang w:val="en-US"/>
        </w:rPr>
        <w:t>Odeniyi</w:t>
      </w:r>
      <w:proofErr w:type="spellEnd"/>
      <w:r w:rsidRPr="00FC1892">
        <w:rPr>
          <w:rFonts w:cs="Calibri"/>
          <w:bCs/>
          <w:sz w:val="20"/>
          <w:szCs w:val="20"/>
          <w:lang w:val="en-US"/>
        </w:rPr>
        <w:t xml:space="preserve">, M. A. (2023). </w:t>
      </w:r>
      <w:proofErr w:type="spellStart"/>
      <w:r w:rsidRPr="00FC1892">
        <w:rPr>
          <w:rFonts w:cs="Calibri"/>
          <w:bCs/>
          <w:sz w:val="20"/>
          <w:szCs w:val="20"/>
          <w:lang w:val="en-US"/>
        </w:rPr>
        <w:t>Utilisation</w:t>
      </w:r>
      <w:proofErr w:type="spellEnd"/>
      <w:r w:rsidRPr="00FC1892">
        <w:rPr>
          <w:rFonts w:cs="Calibri"/>
          <w:bCs/>
          <w:sz w:val="20"/>
          <w:szCs w:val="20"/>
          <w:lang w:val="en-US"/>
        </w:rPr>
        <w:t xml:space="preserve"> of </w:t>
      </w:r>
      <w:proofErr w:type="spellStart"/>
      <w:r w:rsidRPr="00FC1892">
        <w:rPr>
          <w:rFonts w:cs="Calibri"/>
          <w:bCs/>
          <w:sz w:val="20"/>
          <w:szCs w:val="20"/>
          <w:lang w:val="en-US"/>
        </w:rPr>
        <w:t>Mangifera</w:t>
      </w:r>
      <w:proofErr w:type="spellEnd"/>
      <w:r w:rsidRPr="00FC1892">
        <w:rPr>
          <w:rFonts w:cs="Calibri"/>
          <w:bCs/>
          <w:sz w:val="20"/>
          <w:szCs w:val="20"/>
          <w:lang w:val="en-US"/>
        </w:rPr>
        <w:t xml:space="preserve"> </w:t>
      </w:r>
      <w:r>
        <w:rPr>
          <w:rFonts w:cs="Calibri"/>
          <w:bCs/>
          <w:sz w:val="20"/>
          <w:szCs w:val="20"/>
          <w:lang w:val="en-US"/>
        </w:rPr>
        <w:t xml:space="preserve">indica plant Extracts and Parts in </w:t>
      </w:r>
      <w:r w:rsidRPr="00FC1892">
        <w:rPr>
          <w:rFonts w:cs="Calibri"/>
          <w:bCs/>
          <w:sz w:val="20"/>
          <w:szCs w:val="20"/>
          <w:lang w:val="en-US"/>
        </w:rPr>
        <w:t xml:space="preserve">Antimicrobial Formulations and as a Pharmaceutical Excipient: A Review. </w:t>
      </w:r>
      <w:r w:rsidRPr="00FC1892">
        <w:rPr>
          <w:rFonts w:cs="Calibri"/>
          <w:bCs/>
          <w:i/>
          <w:sz w:val="20"/>
          <w:szCs w:val="20"/>
          <w:lang w:val="en-US"/>
        </w:rPr>
        <w:t>Future Journal of Pharmaceutical Sciences</w:t>
      </w:r>
      <w:r w:rsidRPr="00FC1892">
        <w:rPr>
          <w:rFonts w:cs="Calibri"/>
          <w:bCs/>
          <w:sz w:val="20"/>
          <w:szCs w:val="20"/>
          <w:lang w:val="en-US"/>
        </w:rPr>
        <w:t>, 9(1): 1-29.</w:t>
      </w:r>
    </w:p>
    <w:p w14:paraId="4FCBED62" w14:textId="21914819" w:rsidR="00EE09AE"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Amedei</w:t>
      </w:r>
      <w:proofErr w:type="spellEnd"/>
      <w:r w:rsidRPr="00FC1892">
        <w:rPr>
          <w:rFonts w:cs="Calibri"/>
          <w:bCs/>
          <w:sz w:val="20"/>
          <w:szCs w:val="20"/>
          <w:lang w:val="en-US"/>
        </w:rPr>
        <w:t xml:space="preserve">, A. and </w:t>
      </w:r>
      <w:proofErr w:type="spellStart"/>
      <w:r w:rsidRPr="00FC1892">
        <w:rPr>
          <w:rFonts w:cs="Calibri"/>
          <w:bCs/>
          <w:sz w:val="20"/>
          <w:szCs w:val="20"/>
          <w:lang w:val="en-US"/>
        </w:rPr>
        <w:t>Niccolai</w:t>
      </w:r>
      <w:proofErr w:type="spellEnd"/>
      <w:r w:rsidRPr="00FC1892">
        <w:rPr>
          <w:rFonts w:cs="Calibri"/>
          <w:bCs/>
          <w:sz w:val="20"/>
          <w:szCs w:val="20"/>
          <w:lang w:val="en-US"/>
        </w:rPr>
        <w:t>, E. (2024). Plant and Marine Sources: Biological Activity of Natural Products and Therapeu</w:t>
      </w:r>
      <w:r>
        <w:rPr>
          <w:rFonts w:cs="Calibri"/>
          <w:bCs/>
          <w:sz w:val="20"/>
          <w:szCs w:val="20"/>
          <w:lang w:val="en-US"/>
        </w:rPr>
        <w:t xml:space="preserve">tic Use. In S. P. </w:t>
      </w:r>
      <w:proofErr w:type="spellStart"/>
      <w:r>
        <w:rPr>
          <w:rFonts w:cs="Calibri"/>
          <w:bCs/>
          <w:sz w:val="20"/>
          <w:szCs w:val="20"/>
          <w:lang w:val="en-US"/>
        </w:rPr>
        <w:t>Sarker</w:t>
      </w:r>
      <w:proofErr w:type="spellEnd"/>
      <w:r>
        <w:rPr>
          <w:rFonts w:cs="Calibri"/>
          <w:bCs/>
          <w:sz w:val="20"/>
          <w:szCs w:val="20"/>
          <w:lang w:val="en-US"/>
        </w:rPr>
        <w:t xml:space="preserve"> and L. </w:t>
      </w:r>
      <w:proofErr w:type="spellStart"/>
      <w:r w:rsidRPr="00FC1892">
        <w:rPr>
          <w:rFonts w:cs="Calibri"/>
          <w:bCs/>
          <w:sz w:val="20"/>
          <w:szCs w:val="20"/>
          <w:lang w:val="en-US"/>
        </w:rPr>
        <w:t>Nahar</w:t>
      </w:r>
      <w:proofErr w:type="spellEnd"/>
      <w:r w:rsidRPr="00FC1892">
        <w:rPr>
          <w:rFonts w:cs="Calibri"/>
          <w:bCs/>
          <w:sz w:val="20"/>
          <w:szCs w:val="20"/>
          <w:lang w:val="en-US"/>
        </w:rPr>
        <w:t xml:space="preserve"> (Eds.), Natural Products </w:t>
      </w:r>
      <w:r w:rsidRPr="00FC1892">
        <w:rPr>
          <w:rFonts w:cs="Calibri"/>
          <w:bCs/>
          <w:sz w:val="20"/>
          <w:szCs w:val="20"/>
          <w:lang w:val="en-US"/>
        </w:rPr>
        <w:tab/>
        <w:t>Analysis:</w:t>
      </w:r>
      <w:r>
        <w:rPr>
          <w:rFonts w:cs="Calibri"/>
          <w:bCs/>
          <w:sz w:val="20"/>
          <w:szCs w:val="20"/>
          <w:lang w:val="en-US"/>
        </w:rPr>
        <w:t xml:space="preserve"> </w:t>
      </w:r>
      <w:r w:rsidRPr="00FC1892">
        <w:rPr>
          <w:rFonts w:cs="Calibri"/>
          <w:bCs/>
          <w:sz w:val="20"/>
          <w:szCs w:val="20"/>
          <w:lang w:val="en-US"/>
        </w:rPr>
        <w:t>Instrumentation, Methods, and Applicatio</w:t>
      </w:r>
      <w:r>
        <w:rPr>
          <w:rFonts w:cs="Calibri"/>
          <w:bCs/>
          <w:sz w:val="20"/>
          <w:szCs w:val="20"/>
          <w:lang w:val="en-US"/>
        </w:rPr>
        <w:t xml:space="preserve">ns (pp. 43–113). John Wiley and </w:t>
      </w:r>
      <w:r w:rsidRPr="00FC1892">
        <w:rPr>
          <w:rFonts w:cs="Calibri"/>
          <w:bCs/>
          <w:sz w:val="20"/>
          <w:szCs w:val="20"/>
          <w:lang w:val="en-US"/>
        </w:rPr>
        <w:t>Sons, Inc</w:t>
      </w:r>
      <w:r>
        <w:rPr>
          <w:rFonts w:cs="Calibri"/>
          <w:bCs/>
          <w:sz w:val="20"/>
          <w:szCs w:val="20"/>
          <w:lang w:val="en-US"/>
        </w:rPr>
        <w:t>.</w:t>
      </w:r>
    </w:p>
    <w:p w14:paraId="4722F5DB" w14:textId="5D5EA00B"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Balouiri</w:t>
      </w:r>
      <w:proofErr w:type="spellEnd"/>
      <w:r w:rsidRPr="00FC1892">
        <w:rPr>
          <w:rFonts w:cs="Calibri"/>
          <w:bCs/>
          <w:sz w:val="20"/>
          <w:szCs w:val="20"/>
          <w:lang w:val="en-US"/>
        </w:rPr>
        <w:t xml:space="preserve">, M., </w:t>
      </w:r>
      <w:proofErr w:type="spellStart"/>
      <w:r w:rsidRPr="00FC1892">
        <w:rPr>
          <w:rFonts w:cs="Calibri"/>
          <w:bCs/>
          <w:sz w:val="20"/>
          <w:szCs w:val="20"/>
          <w:lang w:val="en-US"/>
        </w:rPr>
        <w:t>Sadiki</w:t>
      </w:r>
      <w:proofErr w:type="spellEnd"/>
      <w:r w:rsidRPr="00FC1892">
        <w:rPr>
          <w:rFonts w:cs="Calibri"/>
          <w:bCs/>
          <w:sz w:val="20"/>
          <w:szCs w:val="20"/>
          <w:lang w:val="en-US"/>
        </w:rPr>
        <w:t xml:space="preserve">, M. and </w:t>
      </w:r>
      <w:proofErr w:type="spellStart"/>
      <w:r w:rsidRPr="00FC1892">
        <w:rPr>
          <w:rFonts w:cs="Calibri"/>
          <w:bCs/>
          <w:sz w:val="20"/>
          <w:szCs w:val="20"/>
          <w:lang w:val="en-US"/>
        </w:rPr>
        <w:t>Ibnsouda</w:t>
      </w:r>
      <w:proofErr w:type="spellEnd"/>
      <w:r w:rsidRPr="00FC1892">
        <w:rPr>
          <w:rFonts w:cs="Calibri"/>
          <w:bCs/>
          <w:sz w:val="20"/>
          <w:szCs w:val="20"/>
          <w:lang w:val="en-US"/>
        </w:rPr>
        <w:t>, S. K.</w:t>
      </w:r>
      <w:r>
        <w:rPr>
          <w:rFonts w:cs="Calibri"/>
          <w:bCs/>
          <w:sz w:val="20"/>
          <w:szCs w:val="20"/>
          <w:lang w:val="en-US"/>
        </w:rPr>
        <w:t xml:space="preserve"> </w:t>
      </w:r>
      <w:r w:rsidRPr="00FC1892">
        <w:rPr>
          <w:rFonts w:cs="Calibri"/>
          <w:bCs/>
          <w:sz w:val="20"/>
          <w:szCs w:val="20"/>
          <w:lang w:val="en-US"/>
        </w:rPr>
        <w:t xml:space="preserve">(2024). Methods for in Vitro Evaluating Antimicrobial Activity: A Review. </w:t>
      </w:r>
      <w:r w:rsidRPr="00FC1892">
        <w:rPr>
          <w:rFonts w:cs="Calibri"/>
          <w:bCs/>
          <w:i/>
          <w:sz w:val="20"/>
          <w:szCs w:val="20"/>
          <w:lang w:val="en-US"/>
        </w:rPr>
        <w:t>Journal of Pharmaceutical Analysis</w:t>
      </w:r>
      <w:r w:rsidRPr="00FC1892">
        <w:rPr>
          <w:rFonts w:cs="Calibri"/>
          <w:bCs/>
          <w:sz w:val="20"/>
          <w:szCs w:val="20"/>
          <w:lang w:val="en-US"/>
        </w:rPr>
        <w:t>, 6(2): 71–79.</w:t>
      </w:r>
    </w:p>
    <w:p w14:paraId="233EBC6F" w14:textId="77777777"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Cheesbrough</w:t>
      </w:r>
      <w:proofErr w:type="spellEnd"/>
      <w:r w:rsidRPr="00FC1892">
        <w:rPr>
          <w:rFonts w:cs="Calibri"/>
          <w:bCs/>
          <w:sz w:val="20"/>
          <w:szCs w:val="20"/>
          <w:lang w:val="en-US"/>
        </w:rPr>
        <w:t xml:space="preserve">, M. (2023). District Laboratory Practice in Tropical Countries. Cambridge </w:t>
      </w:r>
      <w:r w:rsidRPr="00FC1892">
        <w:rPr>
          <w:rFonts w:cs="Calibri"/>
          <w:bCs/>
          <w:sz w:val="20"/>
          <w:szCs w:val="20"/>
          <w:lang w:val="en-US"/>
        </w:rPr>
        <w:tab/>
        <w:t>University Press.</w:t>
      </w:r>
    </w:p>
    <w:p w14:paraId="38CFBB0D" w14:textId="38777825"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Clinical and Laboratory Standards Institute (CLSI). (2023). Performance Standards for </w:t>
      </w:r>
      <w:r w:rsidRPr="00FC1892">
        <w:rPr>
          <w:rFonts w:cs="Calibri"/>
          <w:bCs/>
          <w:sz w:val="20"/>
          <w:szCs w:val="20"/>
          <w:lang w:val="en-US"/>
        </w:rPr>
        <w:tab/>
      </w:r>
      <w:r>
        <w:rPr>
          <w:rFonts w:cs="Calibri"/>
          <w:bCs/>
          <w:sz w:val="20"/>
          <w:szCs w:val="20"/>
          <w:lang w:val="en-US"/>
        </w:rPr>
        <w:t xml:space="preserve">Antimicrobial </w:t>
      </w:r>
      <w:r w:rsidRPr="00FC1892">
        <w:rPr>
          <w:rFonts w:cs="Calibri"/>
          <w:bCs/>
          <w:sz w:val="20"/>
          <w:szCs w:val="20"/>
          <w:lang w:val="en-US"/>
        </w:rPr>
        <w:t xml:space="preserve">Susceptibility Testing (33rd </w:t>
      </w:r>
      <w:proofErr w:type="gramStart"/>
      <w:r w:rsidRPr="00FC1892">
        <w:rPr>
          <w:rFonts w:cs="Calibri"/>
          <w:bCs/>
          <w:sz w:val="20"/>
          <w:szCs w:val="20"/>
          <w:lang w:val="en-US"/>
        </w:rPr>
        <w:t>ed</w:t>
      </w:r>
      <w:proofErr w:type="gramEnd"/>
      <w:r w:rsidRPr="00FC1892">
        <w:rPr>
          <w:rFonts w:cs="Calibri"/>
          <w:bCs/>
          <w:sz w:val="20"/>
          <w:szCs w:val="20"/>
          <w:lang w:val="en-US"/>
        </w:rPr>
        <w:t xml:space="preserve">.). CLSI supplement M100. </w:t>
      </w:r>
    </w:p>
    <w:p w14:paraId="1447BB91" w14:textId="77777777"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Cowan, M. M. </w:t>
      </w:r>
      <w:r w:rsidRPr="00FC1892">
        <w:rPr>
          <w:rFonts w:cs="Calibri"/>
          <w:bCs/>
          <w:sz w:val="20"/>
          <w:szCs w:val="20"/>
          <w:lang w:val="en-US"/>
        </w:rPr>
        <w:tab/>
        <w:t xml:space="preserve">(1999). Plant Products as Antimicrobial Agents. </w:t>
      </w:r>
      <w:r w:rsidRPr="00FC1892">
        <w:rPr>
          <w:rFonts w:cs="Calibri"/>
          <w:bCs/>
          <w:i/>
          <w:sz w:val="20"/>
          <w:szCs w:val="20"/>
          <w:lang w:val="en-US"/>
        </w:rPr>
        <w:t>Clinical Microbiology</w:t>
      </w:r>
      <w:r w:rsidRPr="00FC1892">
        <w:rPr>
          <w:rFonts w:cs="Calibri"/>
          <w:bCs/>
          <w:sz w:val="20"/>
          <w:szCs w:val="20"/>
          <w:lang w:val="en-US"/>
        </w:rPr>
        <w:t xml:space="preserve"> </w:t>
      </w:r>
      <w:r w:rsidRPr="00FC1892">
        <w:rPr>
          <w:rFonts w:cs="Calibri"/>
          <w:bCs/>
          <w:sz w:val="20"/>
          <w:szCs w:val="20"/>
          <w:lang w:val="en-US"/>
        </w:rPr>
        <w:tab/>
      </w:r>
      <w:r w:rsidRPr="00FC1892">
        <w:rPr>
          <w:rFonts w:cs="Calibri"/>
          <w:bCs/>
          <w:i/>
          <w:sz w:val="20"/>
          <w:szCs w:val="20"/>
          <w:lang w:val="en-US"/>
        </w:rPr>
        <w:t>Reviews</w:t>
      </w:r>
      <w:r w:rsidRPr="00FC1892">
        <w:rPr>
          <w:rFonts w:cs="Calibri"/>
          <w:bCs/>
          <w:sz w:val="20"/>
          <w:szCs w:val="20"/>
          <w:lang w:val="en-US"/>
        </w:rPr>
        <w:t>, 12(4): 564–582.</w:t>
      </w:r>
    </w:p>
    <w:p w14:paraId="1EF354FD" w14:textId="3C29B057"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Futur</w:t>
      </w:r>
      <w:proofErr w:type="spellEnd"/>
      <w:r w:rsidRPr="00FC1892">
        <w:rPr>
          <w:rFonts w:cs="Calibri"/>
          <w:bCs/>
          <w:sz w:val="20"/>
          <w:szCs w:val="20"/>
          <w:lang w:val="en-US"/>
        </w:rPr>
        <w:t xml:space="preserve">, S. D (2023). Microbial Contamination Patterns in Environmental Samples. </w:t>
      </w:r>
      <w:r w:rsidRPr="00FC1892">
        <w:rPr>
          <w:rFonts w:cs="Calibri"/>
          <w:bCs/>
          <w:i/>
          <w:sz w:val="20"/>
          <w:szCs w:val="20"/>
          <w:lang w:val="en-US"/>
        </w:rPr>
        <w:t>Future,</w:t>
      </w:r>
      <w:r w:rsidRPr="00FC1892">
        <w:rPr>
          <w:rFonts w:cs="Calibri"/>
          <w:bCs/>
          <w:sz w:val="20"/>
          <w:szCs w:val="20"/>
          <w:lang w:val="en-US"/>
        </w:rPr>
        <w:t xml:space="preserve"> 2(3): 45–59. </w:t>
      </w:r>
    </w:p>
    <w:p w14:paraId="781020EF" w14:textId="5A48F69C"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lastRenderedPageBreak/>
        <w:t xml:space="preserve">Gad, S. C. (2020). Statistics and Experimental Design for Toxicologists and Pharmacologists (4th </w:t>
      </w:r>
      <w:proofErr w:type="gramStart"/>
      <w:r w:rsidRPr="00FC1892">
        <w:rPr>
          <w:rFonts w:cs="Calibri"/>
          <w:bCs/>
          <w:sz w:val="20"/>
          <w:szCs w:val="20"/>
          <w:lang w:val="en-US"/>
        </w:rPr>
        <w:t>ed</w:t>
      </w:r>
      <w:proofErr w:type="gramEnd"/>
      <w:r w:rsidRPr="00FC1892">
        <w:rPr>
          <w:rFonts w:cs="Calibri"/>
          <w:bCs/>
          <w:sz w:val="20"/>
          <w:szCs w:val="20"/>
          <w:lang w:val="en-US"/>
        </w:rPr>
        <w:t xml:space="preserve">.). CRC Press. </w:t>
      </w:r>
    </w:p>
    <w:p w14:paraId="1DCC656A" w14:textId="061EFABA"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Haniyyah</w:t>
      </w:r>
      <w:proofErr w:type="spellEnd"/>
      <w:r w:rsidRPr="00FC1892">
        <w:rPr>
          <w:rFonts w:cs="Calibri"/>
          <w:bCs/>
          <w:sz w:val="20"/>
          <w:szCs w:val="20"/>
          <w:lang w:val="en-US"/>
        </w:rPr>
        <w:t xml:space="preserve">, Y., &amp; Hossain, M. S. (2026). Antibacterial Activity of </w:t>
      </w:r>
      <w:proofErr w:type="spellStart"/>
      <w:r w:rsidRPr="00FC1892">
        <w:rPr>
          <w:rFonts w:cs="Calibri"/>
          <w:bCs/>
          <w:sz w:val="20"/>
          <w:szCs w:val="20"/>
          <w:lang w:val="en-US"/>
        </w:rPr>
        <w:t>Sengir</w:t>
      </w:r>
      <w:proofErr w:type="spellEnd"/>
      <w:r w:rsidRPr="00FC1892">
        <w:rPr>
          <w:rFonts w:cs="Calibri"/>
          <w:bCs/>
          <w:sz w:val="20"/>
          <w:szCs w:val="20"/>
          <w:lang w:val="en-US"/>
        </w:rPr>
        <w:t xml:space="preserve"> Mango </w:t>
      </w:r>
      <w:r w:rsidRPr="00EE09AE">
        <w:rPr>
          <w:rFonts w:cs="Calibri"/>
          <w:bCs/>
          <w:i/>
          <w:sz w:val="20"/>
          <w:szCs w:val="20"/>
          <w:lang w:val="en-US"/>
        </w:rPr>
        <w:t>(</w:t>
      </w:r>
      <w:proofErr w:type="spellStart"/>
      <w:r w:rsidRPr="00EE09AE">
        <w:rPr>
          <w:rFonts w:cs="Calibri"/>
          <w:bCs/>
          <w:i/>
          <w:sz w:val="20"/>
          <w:szCs w:val="20"/>
          <w:lang w:val="en-US"/>
        </w:rPr>
        <w:t>Mangifera</w:t>
      </w:r>
      <w:proofErr w:type="spellEnd"/>
      <w:r w:rsidRPr="00EE09AE">
        <w:rPr>
          <w:rFonts w:cs="Calibri"/>
          <w:bCs/>
          <w:i/>
          <w:sz w:val="20"/>
          <w:szCs w:val="20"/>
          <w:lang w:val="en-US"/>
        </w:rPr>
        <w:t xml:space="preserve"> indica</w:t>
      </w:r>
      <w:r w:rsidRPr="00FC1892">
        <w:rPr>
          <w:rFonts w:cs="Calibri"/>
          <w:bCs/>
          <w:sz w:val="20"/>
          <w:szCs w:val="20"/>
          <w:lang w:val="en-US"/>
        </w:rPr>
        <w:t xml:space="preserve"> L.</w:t>
      </w:r>
      <w:r>
        <w:rPr>
          <w:rFonts w:cs="Calibri"/>
          <w:bCs/>
          <w:sz w:val="20"/>
          <w:szCs w:val="20"/>
          <w:lang w:val="en-US"/>
        </w:rPr>
        <w:t xml:space="preserve"> Cultivar </w:t>
      </w:r>
      <w:proofErr w:type="spellStart"/>
      <w:r>
        <w:rPr>
          <w:rFonts w:cs="Calibri"/>
          <w:bCs/>
          <w:sz w:val="20"/>
          <w:szCs w:val="20"/>
          <w:lang w:val="en-US"/>
        </w:rPr>
        <w:t>Sengir</w:t>
      </w:r>
      <w:proofErr w:type="spellEnd"/>
      <w:r>
        <w:rPr>
          <w:rFonts w:cs="Calibri"/>
          <w:bCs/>
          <w:sz w:val="20"/>
          <w:szCs w:val="20"/>
          <w:lang w:val="en-US"/>
        </w:rPr>
        <w:t>) Leaf Extract a</w:t>
      </w:r>
      <w:r w:rsidRPr="00FC1892">
        <w:rPr>
          <w:rFonts w:cs="Calibri"/>
          <w:bCs/>
          <w:sz w:val="20"/>
          <w:szCs w:val="20"/>
          <w:lang w:val="en-US"/>
        </w:rPr>
        <w:t xml:space="preserve">gainst </w:t>
      </w:r>
      <w:r w:rsidRPr="00FC1892">
        <w:rPr>
          <w:rFonts w:cs="Calibri"/>
          <w:bCs/>
          <w:i/>
          <w:sz w:val="20"/>
          <w:szCs w:val="20"/>
          <w:lang w:val="en-US"/>
        </w:rPr>
        <w:t>Staphylococcus aureus</w:t>
      </w:r>
      <w:r w:rsidRPr="00FC1892">
        <w:rPr>
          <w:rFonts w:cs="Calibri"/>
          <w:bCs/>
          <w:sz w:val="20"/>
          <w:szCs w:val="20"/>
          <w:lang w:val="en-US"/>
        </w:rPr>
        <w:t xml:space="preserve">: </w:t>
      </w:r>
      <w:r w:rsidRPr="00FC1892">
        <w:rPr>
          <w:rFonts w:cs="Calibri"/>
          <w:bCs/>
          <w:i/>
          <w:sz w:val="20"/>
          <w:szCs w:val="20"/>
          <w:lang w:val="en-US"/>
        </w:rPr>
        <w:t>In vitro</w:t>
      </w:r>
      <w:r>
        <w:rPr>
          <w:rFonts w:cs="Calibri"/>
          <w:bCs/>
          <w:sz w:val="20"/>
          <w:szCs w:val="20"/>
          <w:lang w:val="en-US"/>
        </w:rPr>
        <w:t xml:space="preserve"> and </w:t>
      </w:r>
      <w:r w:rsidRPr="00FC1892">
        <w:rPr>
          <w:rFonts w:cs="Calibri"/>
          <w:bCs/>
          <w:sz w:val="20"/>
          <w:szCs w:val="20"/>
          <w:lang w:val="en-US"/>
        </w:rPr>
        <w:t>Molecular Docking Study. </w:t>
      </w:r>
      <w:r w:rsidRPr="00FC1892">
        <w:rPr>
          <w:rFonts w:cs="Calibri"/>
          <w:bCs/>
          <w:i/>
          <w:iCs/>
          <w:sz w:val="20"/>
          <w:szCs w:val="20"/>
          <w:lang w:val="en-US"/>
        </w:rPr>
        <w:t>Journal of Pharmaceutical and Sciences</w:t>
      </w:r>
      <w:r w:rsidRPr="00FC1892">
        <w:rPr>
          <w:rFonts w:cs="Calibri"/>
          <w:bCs/>
          <w:sz w:val="20"/>
          <w:szCs w:val="20"/>
          <w:lang w:val="en-US"/>
        </w:rPr>
        <w:t>, </w:t>
      </w:r>
      <w:r w:rsidRPr="00FC1892">
        <w:rPr>
          <w:rFonts w:cs="Calibri"/>
          <w:bCs/>
          <w:i/>
          <w:iCs/>
          <w:sz w:val="20"/>
          <w:szCs w:val="20"/>
          <w:lang w:val="en-US"/>
        </w:rPr>
        <w:t>9</w:t>
      </w:r>
      <w:r w:rsidRPr="00FC1892">
        <w:rPr>
          <w:rFonts w:cs="Calibri"/>
          <w:bCs/>
          <w:sz w:val="20"/>
          <w:szCs w:val="20"/>
          <w:lang w:val="en-US"/>
        </w:rPr>
        <w:t xml:space="preserve">(3), 2294–2306. </w:t>
      </w:r>
      <w:hyperlink r:id="rId16" w:history="1">
        <w:r w:rsidRPr="00FC1892">
          <w:rPr>
            <w:rStyle w:val="Hyperlink"/>
            <w:rFonts w:cs="Calibri"/>
            <w:bCs/>
            <w:sz w:val="20"/>
            <w:szCs w:val="20"/>
            <w:lang w:val="en-US"/>
          </w:rPr>
          <w:t>https://doi.org/10.36490/journal-jps.com.v9i3.1778</w:t>
        </w:r>
      </w:hyperlink>
    </w:p>
    <w:p w14:paraId="455B5F43" w14:textId="6D856B30"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Harborne</w:t>
      </w:r>
      <w:proofErr w:type="spellEnd"/>
      <w:r w:rsidRPr="00FC1892">
        <w:rPr>
          <w:rFonts w:cs="Calibri"/>
          <w:bCs/>
          <w:sz w:val="20"/>
          <w:szCs w:val="20"/>
          <w:lang w:val="en-US"/>
        </w:rPr>
        <w:t xml:space="preserve">, J. B. (2020). Phytochemical Methods: A Guide to Modern Techniques of Plant Analysis (3rd </w:t>
      </w:r>
      <w:proofErr w:type="gramStart"/>
      <w:r w:rsidRPr="00FC1892">
        <w:rPr>
          <w:rFonts w:cs="Calibri"/>
          <w:bCs/>
          <w:sz w:val="20"/>
          <w:szCs w:val="20"/>
          <w:lang w:val="en-US"/>
        </w:rPr>
        <w:t>ed</w:t>
      </w:r>
      <w:proofErr w:type="gramEnd"/>
      <w:r w:rsidRPr="00FC1892">
        <w:rPr>
          <w:rFonts w:cs="Calibri"/>
          <w:bCs/>
          <w:sz w:val="20"/>
          <w:szCs w:val="20"/>
          <w:lang w:val="en-US"/>
        </w:rPr>
        <w:t>.). Chapman and Hall.</w:t>
      </w:r>
    </w:p>
    <w:p w14:paraId="5D625951" w14:textId="35A42E50"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Li, J., Cheng, F., Wei, X., </w:t>
      </w:r>
      <w:proofErr w:type="spellStart"/>
      <w:r w:rsidRPr="00FC1892">
        <w:rPr>
          <w:rFonts w:cs="Calibri"/>
          <w:bCs/>
          <w:sz w:val="20"/>
          <w:szCs w:val="20"/>
          <w:lang w:val="en-US"/>
        </w:rPr>
        <w:t>Bai</w:t>
      </w:r>
      <w:proofErr w:type="spellEnd"/>
      <w:r w:rsidRPr="00FC1892">
        <w:rPr>
          <w:rFonts w:cs="Calibri"/>
          <w:bCs/>
          <w:sz w:val="20"/>
          <w:szCs w:val="20"/>
          <w:lang w:val="en-US"/>
        </w:rPr>
        <w:t xml:space="preserve">, Y., Wang, Q., Li, B., Zhou, Y., </w:t>
      </w:r>
      <w:proofErr w:type="spellStart"/>
      <w:r w:rsidRPr="00FC1892">
        <w:rPr>
          <w:rFonts w:cs="Calibri"/>
          <w:bCs/>
          <w:sz w:val="20"/>
          <w:szCs w:val="20"/>
          <w:lang w:val="en-US"/>
        </w:rPr>
        <w:t>Zhai</w:t>
      </w:r>
      <w:proofErr w:type="spellEnd"/>
      <w:r w:rsidRPr="00FC1892">
        <w:rPr>
          <w:rFonts w:cs="Calibri"/>
          <w:bCs/>
          <w:sz w:val="20"/>
          <w:szCs w:val="20"/>
          <w:lang w:val="en-US"/>
        </w:rPr>
        <w:t xml:space="preserve">, B., Zhou, X., Wang, W., &amp; </w:t>
      </w:r>
      <w:r w:rsidRPr="00FC1892">
        <w:rPr>
          <w:rFonts w:cs="Calibri"/>
          <w:bCs/>
          <w:sz w:val="20"/>
          <w:szCs w:val="20"/>
          <w:lang w:val="en-US"/>
        </w:rPr>
        <w:tab/>
        <w:t xml:space="preserve">Zhang, J. (2025). Methicillin-Resistant </w:t>
      </w:r>
      <w:r w:rsidRPr="00FC1892">
        <w:rPr>
          <w:rFonts w:cs="Calibri"/>
          <w:bCs/>
          <w:i/>
          <w:sz w:val="20"/>
          <w:szCs w:val="20"/>
          <w:lang w:val="en-US"/>
        </w:rPr>
        <w:t>Staphylococcus aureus</w:t>
      </w:r>
      <w:r>
        <w:rPr>
          <w:rFonts w:cs="Calibri"/>
          <w:bCs/>
          <w:sz w:val="20"/>
          <w:szCs w:val="20"/>
          <w:lang w:val="en-US"/>
        </w:rPr>
        <w:t xml:space="preserve"> (MRSA): Resistance, </w:t>
      </w:r>
      <w:r w:rsidRPr="00FC1892">
        <w:rPr>
          <w:rFonts w:cs="Calibri"/>
          <w:bCs/>
          <w:sz w:val="20"/>
          <w:szCs w:val="20"/>
          <w:lang w:val="en-US"/>
        </w:rPr>
        <w:t xml:space="preserve">Prevalence, and Coping Strategies. </w:t>
      </w:r>
      <w:r w:rsidRPr="00FC1892">
        <w:rPr>
          <w:rFonts w:cs="Calibri"/>
          <w:bCs/>
          <w:i/>
          <w:iCs/>
          <w:sz w:val="20"/>
          <w:szCs w:val="20"/>
          <w:lang w:val="en-US"/>
        </w:rPr>
        <w:t>Antibiotics</w:t>
      </w:r>
      <w:r>
        <w:rPr>
          <w:rFonts w:cs="Calibri"/>
          <w:bCs/>
          <w:sz w:val="20"/>
          <w:szCs w:val="20"/>
          <w:lang w:val="en-US"/>
        </w:rPr>
        <w:t xml:space="preserve">, </w:t>
      </w:r>
      <w:r w:rsidRPr="00FC1892">
        <w:rPr>
          <w:rFonts w:cs="Calibri"/>
          <w:bCs/>
          <w:i/>
          <w:iCs/>
          <w:sz w:val="20"/>
          <w:szCs w:val="20"/>
          <w:lang w:val="en-US"/>
        </w:rPr>
        <w:t>14</w:t>
      </w:r>
      <w:r w:rsidRPr="00FC1892">
        <w:rPr>
          <w:rFonts w:cs="Calibri"/>
          <w:bCs/>
          <w:sz w:val="20"/>
          <w:szCs w:val="20"/>
          <w:lang w:val="en-US"/>
        </w:rPr>
        <w:t>(8),</w:t>
      </w:r>
      <w:r>
        <w:rPr>
          <w:rFonts w:cs="Calibri"/>
          <w:bCs/>
          <w:sz w:val="20"/>
          <w:szCs w:val="20"/>
          <w:lang w:val="en-US"/>
        </w:rPr>
        <w:t xml:space="preserve"> </w:t>
      </w:r>
      <w:r w:rsidRPr="00FC1892">
        <w:rPr>
          <w:rFonts w:cs="Calibri"/>
          <w:bCs/>
          <w:sz w:val="20"/>
          <w:szCs w:val="20"/>
          <w:lang w:val="en-US"/>
        </w:rPr>
        <w:t>771.</w:t>
      </w:r>
      <w:r>
        <w:rPr>
          <w:rFonts w:cs="Calibri"/>
          <w:bCs/>
          <w:sz w:val="20"/>
          <w:szCs w:val="20"/>
          <w:lang w:val="en-US"/>
        </w:rPr>
        <w:t xml:space="preserve"> </w:t>
      </w:r>
      <w:r w:rsidRPr="00FC1892">
        <w:rPr>
          <w:rFonts w:cs="Calibri"/>
          <w:bCs/>
          <w:sz w:val="20"/>
          <w:szCs w:val="20"/>
          <w:lang w:val="en-US"/>
        </w:rPr>
        <w:t>https://doi.org/10.3390/antibiotics14080771</w:t>
      </w:r>
    </w:p>
    <w:p w14:paraId="2109594F" w14:textId="77777777"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Morton, J. (1987). Mango. In F. Morton (Ed.): Fruits of Warm Climates (pp. 221–239). Julia </w:t>
      </w:r>
    </w:p>
    <w:p w14:paraId="7EB40037" w14:textId="6A71DB68"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Motulsky</w:t>
      </w:r>
      <w:proofErr w:type="spellEnd"/>
      <w:r w:rsidRPr="00FC1892">
        <w:rPr>
          <w:rFonts w:cs="Calibri"/>
          <w:bCs/>
          <w:sz w:val="20"/>
          <w:szCs w:val="20"/>
          <w:lang w:val="en-US"/>
        </w:rPr>
        <w:t>, H. (2024). Intuitive Biostatistics: A Nonma</w:t>
      </w:r>
      <w:r>
        <w:rPr>
          <w:rFonts w:cs="Calibri"/>
          <w:bCs/>
          <w:sz w:val="20"/>
          <w:szCs w:val="20"/>
          <w:lang w:val="en-US"/>
        </w:rPr>
        <w:t xml:space="preserve">thematical Guide to Statistical </w:t>
      </w:r>
      <w:r w:rsidRPr="00FC1892">
        <w:rPr>
          <w:rFonts w:cs="Calibri"/>
          <w:bCs/>
          <w:sz w:val="20"/>
          <w:szCs w:val="20"/>
          <w:lang w:val="en-US"/>
        </w:rPr>
        <w:t>Thinking</w:t>
      </w:r>
      <w:r>
        <w:rPr>
          <w:rFonts w:cs="Calibri"/>
          <w:bCs/>
          <w:sz w:val="20"/>
          <w:szCs w:val="20"/>
          <w:lang w:val="en-US"/>
        </w:rPr>
        <w:t xml:space="preserve"> </w:t>
      </w:r>
      <w:r w:rsidRPr="00FC1892">
        <w:rPr>
          <w:rFonts w:cs="Calibri"/>
          <w:bCs/>
          <w:sz w:val="20"/>
          <w:szCs w:val="20"/>
          <w:lang w:val="en-US"/>
        </w:rPr>
        <w:t xml:space="preserve">(3rd </w:t>
      </w:r>
      <w:proofErr w:type="gramStart"/>
      <w:r w:rsidRPr="00FC1892">
        <w:rPr>
          <w:rFonts w:cs="Calibri"/>
          <w:bCs/>
          <w:sz w:val="20"/>
          <w:szCs w:val="20"/>
          <w:lang w:val="en-US"/>
        </w:rPr>
        <w:t>ed</w:t>
      </w:r>
      <w:proofErr w:type="gramEnd"/>
      <w:r w:rsidRPr="00FC1892">
        <w:rPr>
          <w:rFonts w:cs="Calibri"/>
          <w:bCs/>
          <w:sz w:val="20"/>
          <w:szCs w:val="20"/>
          <w:lang w:val="en-US"/>
        </w:rPr>
        <w:t>.). Oxford University Press.</w:t>
      </w:r>
    </w:p>
    <w:p w14:paraId="5A7939FC" w14:textId="2CFB0238"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Orwa</w:t>
      </w:r>
      <w:proofErr w:type="spellEnd"/>
      <w:r w:rsidRPr="00FC1892">
        <w:rPr>
          <w:rFonts w:cs="Calibri"/>
          <w:bCs/>
          <w:sz w:val="20"/>
          <w:szCs w:val="20"/>
          <w:lang w:val="en-US"/>
        </w:rPr>
        <w:t xml:space="preserve">, C., </w:t>
      </w:r>
      <w:proofErr w:type="spellStart"/>
      <w:r w:rsidRPr="00FC1892">
        <w:rPr>
          <w:rFonts w:cs="Calibri"/>
          <w:bCs/>
          <w:sz w:val="20"/>
          <w:szCs w:val="20"/>
          <w:lang w:val="en-US"/>
        </w:rPr>
        <w:t>Mutua</w:t>
      </w:r>
      <w:proofErr w:type="spellEnd"/>
      <w:r w:rsidRPr="00FC1892">
        <w:rPr>
          <w:rFonts w:cs="Calibri"/>
          <w:bCs/>
          <w:sz w:val="20"/>
          <w:szCs w:val="20"/>
          <w:lang w:val="en-US"/>
        </w:rPr>
        <w:t xml:space="preserve">, A., </w:t>
      </w:r>
      <w:proofErr w:type="spellStart"/>
      <w:r w:rsidRPr="00FC1892">
        <w:rPr>
          <w:rFonts w:cs="Calibri"/>
          <w:bCs/>
          <w:sz w:val="20"/>
          <w:szCs w:val="20"/>
          <w:lang w:val="en-US"/>
        </w:rPr>
        <w:t>Kindt</w:t>
      </w:r>
      <w:proofErr w:type="spellEnd"/>
      <w:r w:rsidRPr="00FC1892">
        <w:rPr>
          <w:rFonts w:cs="Calibri"/>
          <w:bCs/>
          <w:sz w:val="20"/>
          <w:szCs w:val="20"/>
          <w:lang w:val="en-US"/>
        </w:rPr>
        <w:t xml:space="preserve">, R., </w:t>
      </w:r>
      <w:proofErr w:type="spellStart"/>
      <w:r w:rsidRPr="00FC1892">
        <w:rPr>
          <w:rFonts w:cs="Calibri"/>
          <w:bCs/>
          <w:sz w:val="20"/>
          <w:szCs w:val="20"/>
          <w:lang w:val="en-US"/>
        </w:rPr>
        <w:t>Jamnadass</w:t>
      </w:r>
      <w:proofErr w:type="spellEnd"/>
      <w:r w:rsidRPr="00FC1892">
        <w:rPr>
          <w:rFonts w:cs="Calibri"/>
          <w:bCs/>
          <w:sz w:val="20"/>
          <w:szCs w:val="20"/>
          <w:lang w:val="en-US"/>
        </w:rPr>
        <w:t xml:space="preserve">, R. and Simons, A. (2021). </w:t>
      </w:r>
      <w:proofErr w:type="spellStart"/>
      <w:r w:rsidRPr="00FC1892">
        <w:rPr>
          <w:rFonts w:cs="Calibri"/>
          <w:bCs/>
          <w:sz w:val="20"/>
          <w:szCs w:val="20"/>
          <w:lang w:val="en-US"/>
        </w:rPr>
        <w:t>Agroforestree</w:t>
      </w:r>
      <w:proofErr w:type="spellEnd"/>
      <w:r w:rsidRPr="00FC1892">
        <w:rPr>
          <w:rFonts w:cs="Calibri"/>
          <w:bCs/>
          <w:sz w:val="20"/>
          <w:szCs w:val="20"/>
          <w:lang w:val="en-US"/>
        </w:rPr>
        <w:t xml:space="preserve"> Database: A Tree Reference and Selection Guide Version 4.0. World Agroforestry Centre. </w:t>
      </w:r>
    </w:p>
    <w:p w14:paraId="77B26A0F" w14:textId="033804F0"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Pankey</w:t>
      </w:r>
      <w:proofErr w:type="spellEnd"/>
      <w:r w:rsidRPr="00FC1892">
        <w:rPr>
          <w:rFonts w:cs="Calibri"/>
          <w:bCs/>
          <w:sz w:val="20"/>
          <w:szCs w:val="20"/>
          <w:lang w:val="en-US"/>
        </w:rPr>
        <w:t xml:space="preserve">, G. A. and </w:t>
      </w:r>
      <w:proofErr w:type="spellStart"/>
      <w:r w:rsidRPr="00FC1892">
        <w:rPr>
          <w:rFonts w:cs="Calibri"/>
          <w:bCs/>
          <w:sz w:val="20"/>
          <w:szCs w:val="20"/>
          <w:lang w:val="en-US"/>
        </w:rPr>
        <w:t>Sabath</w:t>
      </w:r>
      <w:proofErr w:type="spellEnd"/>
      <w:r w:rsidRPr="00FC1892">
        <w:rPr>
          <w:rFonts w:cs="Calibri"/>
          <w:bCs/>
          <w:sz w:val="20"/>
          <w:szCs w:val="20"/>
          <w:lang w:val="en-US"/>
        </w:rPr>
        <w:t>, L. D. (2024). Clinical Relevance of Bac</w:t>
      </w:r>
      <w:r w:rsidR="003B686A">
        <w:rPr>
          <w:rFonts w:cs="Calibri"/>
          <w:bCs/>
          <w:sz w:val="20"/>
          <w:szCs w:val="20"/>
          <w:lang w:val="en-US"/>
        </w:rPr>
        <w:t xml:space="preserve">teriostatic Versus Bactericidal </w:t>
      </w:r>
      <w:r w:rsidRPr="00FC1892">
        <w:rPr>
          <w:rFonts w:cs="Calibri"/>
          <w:bCs/>
          <w:sz w:val="20"/>
          <w:szCs w:val="20"/>
          <w:lang w:val="en-US"/>
        </w:rPr>
        <w:t>Mechanisms of Action in the Treatment of Gram-positive</w:t>
      </w:r>
      <w:r w:rsidR="003B686A">
        <w:rPr>
          <w:rFonts w:cs="Calibri"/>
          <w:bCs/>
          <w:sz w:val="20"/>
          <w:szCs w:val="20"/>
          <w:lang w:val="en-US"/>
        </w:rPr>
        <w:t xml:space="preserve"> </w:t>
      </w:r>
      <w:r w:rsidRPr="00FC1892">
        <w:rPr>
          <w:rFonts w:cs="Calibri"/>
          <w:bCs/>
          <w:sz w:val="20"/>
          <w:szCs w:val="20"/>
          <w:lang w:val="en-US"/>
        </w:rPr>
        <w:t xml:space="preserve">Bacterial Infections. </w:t>
      </w:r>
      <w:r w:rsidRPr="00FC1892">
        <w:rPr>
          <w:rFonts w:cs="Calibri"/>
          <w:bCs/>
          <w:i/>
          <w:sz w:val="20"/>
          <w:szCs w:val="20"/>
          <w:lang w:val="en-US"/>
        </w:rPr>
        <w:t>Clinical</w:t>
      </w:r>
      <w:r w:rsidR="003B686A">
        <w:rPr>
          <w:rFonts w:cs="Calibri"/>
          <w:bCs/>
          <w:sz w:val="20"/>
          <w:szCs w:val="20"/>
          <w:lang w:val="en-US"/>
        </w:rPr>
        <w:t xml:space="preserve"> </w:t>
      </w:r>
      <w:r w:rsidRPr="00FC1892">
        <w:rPr>
          <w:rFonts w:cs="Calibri"/>
          <w:bCs/>
          <w:i/>
          <w:sz w:val="20"/>
          <w:szCs w:val="20"/>
          <w:lang w:val="en-US"/>
        </w:rPr>
        <w:t>Infectious Diseases</w:t>
      </w:r>
      <w:r w:rsidRPr="00FC1892">
        <w:rPr>
          <w:rFonts w:cs="Calibri"/>
          <w:bCs/>
          <w:sz w:val="20"/>
          <w:szCs w:val="20"/>
          <w:lang w:val="en-US"/>
        </w:rPr>
        <w:t>, 38(6): 864–870.</w:t>
      </w:r>
    </w:p>
    <w:p w14:paraId="129BC8C6" w14:textId="77777777"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Sasidharan</w:t>
      </w:r>
      <w:proofErr w:type="spellEnd"/>
      <w:r w:rsidRPr="00FC1892">
        <w:rPr>
          <w:rFonts w:cs="Calibri"/>
          <w:bCs/>
          <w:sz w:val="20"/>
          <w:szCs w:val="20"/>
          <w:lang w:val="en-US"/>
        </w:rPr>
        <w:t xml:space="preserve">, S., Chen, Y., </w:t>
      </w:r>
      <w:proofErr w:type="spellStart"/>
      <w:r w:rsidRPr="00FC1892">
        <w:rPr>
          <w:rFonts w:cs="Calibri"/>
          <w:bCs/>
          <w:sz w:val="20"/>
          <w:szCs w:val="20"/>
          <w:lang w:val="en-US"/>
        </w:rPr>
        <w:t>Saravanan</w:t>
      </w:r>
      <w:proofErr w:type="spellEnd"/>
      <w:r w:rsidRPr="00FC1892">
        <w:rPr>
          <w:rFonts w:cs="Calibri"/>
          <w:bCs/>
          <w:sz w:val="20"/>
          <w:szCs w:val="20"/>
          <w:lang w:val="en-US"/>
        </w:rPr>
        <w:t xml:space="preserve">, D., </w:t>
      </w:r>
      <w:proofErr w:type="spellStart"/>
      <w:r w:rsidRPr="00FC1892">
        <w:rPr>
          <w:rFonts w:cs="Calibri"/>
          <w:bCs/>
          <w:sz w:val="20"/>
          <w:szCs w:val="20"/>
          <w:lang w:val="en-US"/>
        </w:rPr>
        <w:t>Sundram</w:t>
      </w:r>
      <w:proofErr w:type="spellEnd"/>
      <w:r w:rsidRPr="00FC1892">
        <w:rPr>
          <w:rFonts w:cs="Calibri"/>
          <w:bCs/>
          <w:sz w:val="20"/>
          <w:szCs w:val="20"/>
          <w:lang w:val="en-US"/>
        </w:rPr>
        <w:t xml:space="preserve">, K. M. and </w:t>
      </w:r>
      <w:proofErr w:type="spellStart"/>
      <w:r w:rsidRPr="00FC1892">
        <w:rPr>
          <w:rFonts w:cs="Calibri"/>
          <w:bCs/>
          <w:sz w:val="20"/>
          <w:szCs w:val="20"/>
          <w:lang w:val="en-US"/>
        </w:rPr>
        <w:t>Latha</w:t>
      </w:r>
      <w:proofErr w:type="spellEnd"/>
      <w:r w:rsidRPr="00FC1892">
        <w:rPr>
          <w:rFonts w:cs="Calibri"/>
          <w:bCs/>
          <w:sz w:val="20"/>
          <w:szCs w:val="20"/>
          <w:lang w:val="en-US"/>
        </w:rPr>
        <w:t xml:space="preserve">, L. Y. (2021). Extraction, </w:t>
      </w:r>
      <w:r w:rsidRPr="00FC1892">
        <w:rPr>
          <w:rFonts w:cs="Calibri"/>
          <w:bCs/>
          <w:sz w:val="20"/>
          <w:szCs w:val="20"/>
          <w:lang w:val="en-US"/>
        </w:rPr>
        <w:tab/>
        <w:t xml:space="preserve">Isolation and Characterization of Bioactive Compounds from Plants’ Extracts. African </w:t>
      </w:r>
      <w:r w:rsidRPr="00FC1892">
        <w:rPr>
          <w:rFonts w:cs="Calibri"/>
          <w:bCs/>
          <w:sz w:val="20"/>
          <w:szCs w:val="20"/>
          <w:lang w:val="en-US"/>
        </w:rPr>
        <w:tab/>
      </w:r>
      <w:r w:rsidRPr="00FC1892">
        <w:rPr>
          <w:rFonts w:cs="Calibri"/>
          <w:bCs/>
          <w:i/>
          <w:sz w:val="20"/>
          <w:szCs w:val="20"/>
          <w:lang w:val="en-US"/>
        </w:rPr>
        <w:t>Journal of Traditional, Complementary and Alternative Medicines</w:t>
      </w:r>
      <w:r w:rsidRPr="00FC1892">
        <w:rPr>
          <w:rFonts w:cs="Calibri"/>
          <w:bCs/>
          <w:sz w:val="20"/>
          <w:szCs w:val="20"/>
          <w:lang w:val="en-US"/>
        </w:rPr>
        <w:t>, 8(1): 1–10.</w:t>
      </w:r>
    </w:p>
    <w:p w14:paraId="7D720933" w14:textId="29709C0B" w:rsidR="00EE09AE" w:rsidRPr="00FC1892" w:rsidRDefault="00EE09AE" w:rsidP="00EE09AE">
      <w:pPr>
        <w:spacing w:after="0" w:line="240" w:lineRule="auto"/>
        <w:jc w:val="both"/>
        <w:rPr>
          <w:rFonts w:cs="Calibri"/>
          <w:bCs/>
          <w:sz w:val="20"/>
          <w:szCs w:val="20"/>
          <w:lang w:val="en-US"/>
        </w:rPr>
      </w:pPr>
      <w:proofErr w:type="spellStart"/>
      <w:r w:rsidRPr="00FC1892">
        <w:rPr>
          <w:rFonts w:cs="Calibri"/>
          <w:bCs/>
          <w:sz w:val="20"/>
          <w:szCs w:val="20"/>
          <w:lang w:val="en-US"/>
        </w:rPr>
        <w:t>Sferrazzo</w:t>
      </w:r>
      <w:proofErr w:type="spellEnd"/>
      <w:r w:rsidRPr="00FC1892">
        <w:rPr>
          <w:rFonts w:cs="Calibri"/>
          <w:bCs/>
          <w:sz w:val="20"/>
          <w:szCs w:val="20"/>
          <w:lang w:val="en-US"/>
        </w:rPr>
        <w:t xml:space="preserve">, G., </w:t>
      </w:r>
      <w:proofErr w:type="spellStart"/>
      <w:r w:rsidRPr="00FC1892">
        <w:rPr>
          <w:rFonts w:cs="Calibri"/>
          <w:bCs/>
          <w:sz w:val="20"/>
          <w:szCs w:val="20"/>
          <w:lang w:val="en-US"/>
        </w:rPr>
        <w:t>Palmeri</w:t>
      </w:r>
      <w:proofErr w:type="spellEnd"/>
      <w:r w:rsidRPr="00FC1892">
        <w:rPr>
          <w:rFonts w:cs="Calibri"/>
          <w:bCs/>
          <w:sz w:val="20"/>
          <w:szCs w:val="20"/>
          <w:lang w:val="en-US"/>
        </w:rPr>
        <w:t xml:space="preserve">, R., </w:t>
      </w:r>
      <w:proofErr w:type="spellStart"/>
      <w:r w:rsidRPr="00FC1892">
        <w:rPr>
          <w:rFonts w:cs="Calibri"/>
          <w:bCs/>
          <w:sz w:val="20"/>
          <w:szCs w:val="20"/>
          <w:lang w:val="en-US"/>
        </w:rPr>
        <w:t>Restuccia</w:t>
      </w:r>
      <w:proofErr w:type="spellEnd"/>
      <w:r w:rsidRPr="00FC1892">
        <w:rPr>
          <w:rFonts w:cs="Calibri"/>
          <w:bCs/>
          <w:sz w:val="20"/>
          <w:szCs w:val="20"/>
          <w:lang w:val="en-US"/>
        </w:rPr>
        <w:t xml:space="preserve">, C., </w:t>
      </w:r>
      <w:proofErr w:type="spellStart"/>
      <w:r w:rsidRPr="00FC1892">
        <w:rPr>
          <w:rFonts w:cs="Calibri"/>
          <w:bCs/>
          <w:sz w:val="20"/>
          <w:szCs w:val="20"/>
          <w:lang w:val="en-US"/>
        </w:rPr>
        <w:t>Parafati</w:t>
      </w:r>
      <w:proofErr w:type="spellEnd"/>
      <w:r w:rsidRPr="00FC1892">
        <w:rPr>
          <w:rFonts w:cs="Calibri"/>
          <w:bCs/>
          <w:sz w:val="20"/>
          <w:szCs w:val="20"/>
          <w:lang w:val="en-US"/>
        </w:rPr>
        <w:t xml:space="preserve">, L., </w:t>
      </w:r>
      <w:proofErr w:type="spellStart"/>
      <w:r w:rsidRPr="00FC1892">
        <w:rPr>
          <w:rFonts w:cs="Calibri"/>
          <w:bCs/>
          <w:sz w:val="20"/>
          <w:szCs w:val="20"/>
          <w:lang w:val="en-US"/>
        </w:rPr>
        <w:t>Siracusa</w:t>
      </w:r>
      <w:proofErr w:type="spellEnd"/>
      <w:r w:rsidRPr="00FC1892">
        <w:rPr>
          <w:rFonts w:cs="Calibri"/>
          <w:bCs/>
          <w:sz w:val="20"/>
          <w:szCs w:val="20"/>
          <w:lang w:val="en-US"/>
        </w:rPr>
        <w:t xml:space="preserve">, L., </w:t>
      </w:r>
      <w:proofErr w:type="spellStart"/>
      <w:r w:rsidRPr="00FC1892">
        <w:rPr>
          <w:rFonts w:cs="Calibri"/>
          <w:bCs/>
          <w:sz w:val="20"/>
          <w:szCs w:val="20"/>
          <w:lang w:val="en-US"/>
        </w:rPr>
        <w:t>Spampinato</w:t>
      </w:r>
      <w:proofErr w:type="spellEnd"/>
      <w:r w:rsidRPr="00FC1892">
        <w:rPr>
          <w:rFonts w:cs="Calibri"/>
          <w:bCs/>
          <w:sz w:val="20"/>
          <w:szCs w:val="20"/>
          <w:lang w:val="en-US"/>
        </w:rPr>
        <w:t xml:space="preserve">, M., </w:t>
      </w:r>
      <w:proofErr w:type="spellStart"/>
      <w:r w:rsidRPr="00FC1892">
        <w:rPr>
          <w:rFonts w:cs="Calibri"/>
          <w:bCs/>
          <w:sz w:val="20"/>
          <w:szCs w:val="20"/>
          <w:lang w:val="en-US"/>
        </w:rPr>
        <w:t>Carota</w:t>
      </w:r>
      <w:proofErr w:type="spellEnd"/>
      <w:r w:rsidRPr="00FC1892">
        <w:rPr>
          <w:rFonts w:cs="Calibri"/>
          <w:bCs/>
          <w:sz w:val="20"/>
          <w:szCs w:val="20"/>
          <w:lang w:val="en-US"/>
        </w:rPr>
        <w:t xml:space="preserve">, G., </w:t>
      </w:r>
      <w:proofErr w:type="spellStart"/>
      <w:r w:rsidRPr="00FC1892">
        <w:rPr>
          <w:rFonts w:cs="Calibri"/>
          <w:bCs/>
          <w:sz w:val="20"/>
          <w:szCs w:val="20"/>
          <w:lang w:val="en-US"/>
        </w:rPr>
        <w:t>Distefano</w:t>
      </w:r>
      <w:proofErr w:type="spellEnd"/>
      <w:r w:rsidRPr="00FC1892">
        <w:rPr>
          <w:rFonts w:cs="Calibri"/>
          <w:bCs/>
          <w:sz w:val="20"/>
          <w:szCs w:val="20"/>
          <w:lang w:val="en-US"/>
        </w:rPr>
        <w:t xml:space="preserve">, A., Di Rosa, M., </w:t>
      </w:r>
      <w:proofErr w:type="spellStart"/>
      <w:r w:rsidRPr="00FC1892">
        <w:rPr>
          <w:rFonts w:cs="Calibri"/>
          <w:bCs/>
          <w:sz w:val="20"/>
          <w:szCs w:val="20"/>
          <w:lang w:val="en-US"/>
        </w:rPr>
        <w:t>Tomasello</w:t>
      </w:r>
      <w:proofErr w:type="spellEnd"/>
      <w:r w:rsidRPr="00FC1892">
        <w:rPr>
          <w:rFonts w:cs="Calibri"/>
          <w:bCs/>
          <w:sz w:val="20"/>
          <w:szCs w:val="20"/>
          <w:lang w:val="en-US"/>
        </w:rPr>
        <w:t xml:space="preserve">, B., </w:t>
      </w:r>
      <w:proofErr w:type="spellStart"/>
      <w:r w:rsidRPr="00FC1892">
        <w:rPr>
          <w:rFonts w:cs="Calibri"/>
          <w:bCs/>
          <w:sz w:val="20"/>
          <w:szCs w:val="20"/>
          <w:lang w:val="en-US"/>
        </w:rPr>
        <w:t>Costantino</w:t>
      </w:r>
      <w:proofErr w:type="spellEnd"/>
      <w:r w:rsidRPr="00FC1892">
        <w:rPr>
          <w:rFonts w:cs="Calibri"/>
          <w:bCs/>
          <w:sz w:val="20"/>
          <w:szCs w:val="20"/>
          <w:lang w:val="en-US"/>
        </w:rPr>
        <w:t xml:space="preserve">, A., </w:t>
      </w:r>
      <w:proofErr w:type="spellStart"/>
      <w:r w:rsidRPr="00FC1892">
        <w:rPr>
          <w:rFonts w:cs="Calibri"/>
          <w:bCs/>
          <w:sz w:val="20"/>
          <w:szCs w:val="20"/>
          <w:lang w:val="en-US"/>
        </w:rPr>
        <w:t>Gulisano</w:t>
      </w:r>
      <w:proofErr w:type="spellEnd"/>
      <w:r w:rsidRPr="00FC1892">
        <w:rPr>
          <w:rFonts w:cs="Calibri"/>
          <w:bCs/>
          <w:sz w:val="20"/>
          <w:szCs w:val="20"/>
          <w:lang w:val="en-US"/>
        </w:rPr>
        <w:t xml:space="preserve">, M., Li </w:t>
      </w:r>
      <w:proofErr w:type="spellStart"/>
      <w:r w:rsidRPr="00FC1892">
        <w:rPr>
          <w:rFonts w:cs="Calibri"/>
          <w:bCs/>
          <w:sz w:val="20"/>
          <w:szCs w:val="20"/>
          <w:lang w:val="en-US"/>
        </w:rPr>
        <w:t>Volti</w:t>
      </w:r>
      <w:proofErr w:type="spellEnd"/>
      <w:r w:rsidRPr="00FC1892">
        <w:rPr>
          <w:rFonts w:cs="Calibri"/>
          <w:bCs/>
          <w:sz w:val="20"/>
          <w:szCs w:val="20"/>
          <w:lang w:val="en-US"/>
        </w:rPr>
        <w:t xml:space="preserve">, G., &amp; </w:t>
      </w:r>
      <w:r w:rsidRPr="00FC1892">
        <w:rPr>
          <w:rFonts w:cs="Calibri"/>
          <w:bCs/>
          <w:sz w:val="20"/>
          <w:szCs w:val="20"/>
          <w:lang w:val="en-US"/>
        </w:rPr>
        <w:tab/>
      </w:r>
      <w:proofErr w:type="spellStart"/>
      <w:r w:rsidRPr="00FC1892">
        <w:rPr>
          <w:rFonts w:cs="Calibri"/>
          <w:bCs/>
          <w:sz w:val="20"/>
          <w:szCs w:val="20"/>
          <w:lang w:val="en-US"/>
        </w:rPr>
        <w:t>Barbagallo</w:t>
      </w:r>
      <w:proofErr w:type="spellEnd"/>
      <w:r w:rsidRPr="00FC1892">
        <w:rPr>
          <w:rFonts w:cs="Calibri"/>
          <w:bCs/>
          <w:sz w:val="20"/>
          <w:szCs w:val="20"/>
          <w:lang w:val="en-US"/>
        </w:rPr>
        <w:t>, I. (2022). </w:t>
      </w:r>
      <w:proofErr w:type="spellStart"/>
      <w:r w:rsidRPr="00FC1892">
        <w:rPr>
          <w:rFonts w:cs="Calibri"/>
          <w:bCs/>
          <w:i/>
          <w:iCs/>
          <w:sz w:val="20"/>
          <w:szCs w:val="20"/>
          <w:lang w:val="en-US"/>
        </w:rPr>
        <w:t>Mangifera</w:t>
      </w:r>
      <w:proofErr w:type="spellEnd"/>
      <w:r w:rsidRPr="00FC1892">
        <w:rPr>
          <w:rFonts w:cs="Calibri"/>
          <w:bCs/>
          <w:i/>
          <w:iCs/>
          <w:sz w:val="20"/>
          <w:szCs w:val="20"/>
          <w:lang w:val="en-US"/>
        </w:rPr>
        <w:t xml:space="preserve"> indica</w:t>
      </w:r>
      <w:r w:rsidRPr="00FC1892">
        <w:rPr>
          <w:rFonts w:cs="Calibri"/>
          <w:bCs/>
          <w:sz w:val="20"/>
          <w:szCs w:val="20"/>
          <w:lang w:val="en-US"/>
        </w:rPr>
        <w:t> L. Leaves as a Po</w:t>
      </w:r>
      <w:r w:rsidR="003B686A">
        <w:rPr>
          <w:rFonts w:cs="Calibri"/>
          <w:bCs/>
          <w:sz w:val="20"/>
          <w:szCs w:val="20"/>
          <w:lang w:val="en-US"/>
        </w:rPr>
        <w:t xml:space="preserve">tential Food Source of Phenolic Compounds with </w:t>
      </w:r>
      <w:r w:rsidRPr="00FC1892">
        <w:rPr>
          <w:rFonts w:cs="Calibri"/>
          <w:bCs/>
          <w:sz w:val="20"/>
          <w:szCs w:val="20"/>
          <w:lang w:val="en-US"/>
        </w:rPr>
        <w:t>Biological Activity. </w:t>
      </w:r>
      <w:r w:rsidRPr="00FC1892">
        <w:rPr>
          <w:rFonts w:cs="Calibri"/>
          <w:bCs/>
          <w:i/>
          <w:iCs/>
          <w:sz w:val="20"/>
          <w:szCs w:val="20"/>
          <w:lang w:val="en-US"/>
        </w:rPr>
        <w:t>Antioxidants (Basel,</w:t>
      </w:r>
      <w:r w:rsidR="003B686A">
        <w:rPr>
          <w:rFonts w:cs="Calibri"/>
          <w:bCs/>
          <w:i/>
          <w:iCs/>
          <w:sz w:val="20"/>
          <w:szCs w:val="20"/>
          <w:lang w:val="en-US"/>
        </w:rPr>
        <w:t xml:space="preserve"> </w:t>
      </w:r>
      <w:r w:rsidRPr="00FC1892">
        <w:rPr>
          <w:rFonts w:cs="Calibri"/>
          <w:bCs/>
          <w:i/>
          <w:iCs/>
          <w:sz w:val="20"/>
          <w:szCs w:val="20"/>
          <w:lang w:val="en-US"/>
        </w:rPr>
        <w:t>Switzerland)</w:t>
      </w:r>
      <w:r w:rsidRPr="00FC1892">
        <w:rPr>
          <w:rFonts w:cs="Calibri"/>
          <w:bCs/>
          <w:sz w:val="20"/>
          <w:szCs w:val="20"/>
          <w:lang w:val="en-US"/>
        </w:rPr>
        <w:t>,</w:t>
      </w:r>
      <w:r w:rsidR="003B686A">
        <w:rPr>
          <w:rFonts w:cs="Calibri"/>
          <w:bCs/>
          <w:sz w:val="20"/>
          <w:szCs w:val="20"/>
          <w:lang w:val="en-US"/>
        </w:rPr>
        <w:t xml:space="preserve"> </w:t>
      </w:r>
      <w:r w:rsidRPr="00FC1892">
        <w:rPr>
          <w:rFonts w:cs="Calibri"/>
          <w:bCs/>
          <w:i/>
          <w:iCs/>
          <w:sz w:val="20"/>
          <w:szCs w:val="20"/>
          <w:lang w:val="en-US"/>
        </w:rPr>
        <w:t>11</w:t>
      </w:r>
      <w:r w:rsidRPr="00FC1892">
        <w:rPr>
          <w:rFonts w:cs="Calibri"/>
          <w:bCs/>
          <w:sz w:val="20"/>
          <w:szCs w:val="20"/>
          <w:lang w:val="en-US"/>
        </w:rPr>
        <w:t>(7),</w:t>
      </w:r>
      <w:r w:rsidR="003B686A">
        <w:rPr>
          <w:rFonts w:cs="Calibri"/>
          <w:bCs/>
          <w:sz w:val="20"/>
          <w:szCs w:val="20"/>
          <w:lang w:val="en-US"/>
        </w:rPr>
        <w:t xml:space="preserve"> </w:t>
      </w:r>
      <w:r w:rsidRPr="00FC1892">
        <w:rPr>
          <w:rFonts w:cs="Calibri"/>
          <w:bCs/>
          <w:sz w:val="20"/>
          <w:szCs w:val="20"/>
          <w:lang w:val="en-US"/>
        </w:rPr>
        <w:t xml:space="preserve">1313. </w:t>
      </w:r>
      <w:hyperlink r:id="rId17" w:history="1">
        <w:r w:rsidRPr="00FC1892">
          <w:rPr>
            <w:rStyle w:val="Hyperlink"/>
            <w:rFonts w:cs="Calibri"/>
            <w:bCs/>
            <w:sz w:val="20"/>
            <w:szCs w:val="20"/>
            <w:lang w:val="en-US"/>
          </w:rPr>
          <w:t>https://doi.org/10.3390/antiox11071313</w:t>
        </w:r>
      </w:hyperlink>
    </w:p>
    <w:p w14:paraId="1AD7EF5A" w14:textId="4509BAC7" w:rsidR="00EE09AE" w:rsidRPr="00FC1892" w:rsidRDefault="00EE09AE" w:rsidP="00EE09AE">
      <w:pPr>
        <w:spacing w:after="0" w:line="240" w:lineRule="auto"/>
        <w:jc w:val="both"/>
        <w:rPr>
          <w:rFonts w:cs="Calibri"/>
          <w:bCs/>
          <w:sz w:val="20"/>
          <w:szCs w:val="20"/>
          <w:lang w:val="en-US"/>
        </w:rPr>
      </w:pPr>
      <w:r w:rsidRPr="00FC1892">
        <w:rPr>
          <w:rFonts w:cs="Calibri"/>
          <w:bCs/>
          <w:sz w:val="20"/>
          <w:szCs w:val="20"/>
          <w:lang w:val="en-US"/>
        </w:rPr>
        <w:t xml:space="preserve">Song, L., Schwinn, L., </w:t>
      </w:r>
      <w:proofErr w:type="spellStart"/>
      <w:r w:rsidRPr="00FC1892">
        <w:rPr>
          <w:rFonts w:cs="Calibri"/>
          <w:bCs/>
          <w:sz w:val="20"/>
          <w:szCs w:val="20"/>
          <w:lang w:val="en-US"/>
        </w:rPr>
        <w:t>Barthel</w:t>
      </w:r>
      <w:proofErr w:type="spellEnd"/>
      <w:r w:rsidRPr="00FC1892">
        <w:rPr>
          <w:rFonts w:cs="Calibri"/>
          <w:bCs/>
          <w:sz w:val="20"/>
          <w:szCs w:val="20"/>
          <w:lang w:val="en-US"/>
        </w:rPr>
        <w:t xml:space="preserve">, J., </w:t>
      </w:r>
      <w:proofErr w:type="spellStart"/>
      <w:r w:rsidRPr="00FC1892">
        <w:rPr>
          <w:rFonts w:cs="Calibri"/>
          <w:bCs/>
          <w:sz w:val="20"/>
          <w:szCs w:val="20"/>
          <w:lang w:val="en-US"/>
        </w:rPr>
        <w:t>Ketter</w:t>
      </w:r>
      <w:proofErr w:type="spellEnd"/>
      <w:r w:rsidRPr="00FC1892">
        <w:rPr>
          <w:rFonts w:cs="Calibri"/>
          <w:bCs/>
          <w:sz w:val="20"/>
          <w:szCs w:val="20"/>
          <w:lang w:val="en-US"/>
        </w:rPr>
        <w:t xml:space="preserve">, V., </w:t>
      </w:r>
      <w:proofErr w:type="spellStart"/>
      <w:r w:rsidRPr="00FC1892">
        <w:rPr>
          <w:rFonts w:cs="Calibri"/>
          <w:bCs/>
          <w:sz w:val="20"/>
          <w:szCs w:val="20"/>
          <w:lang w:val="en-US"/>
        </w:rPr>
        <w:t>Lechler</w:t>
      </w:r>
      <w:proofErr w:type="spellEnd"/>
      <w:r w:rsidRPr="00FC1892">
        <w:rPr>
          <w:rFonts w:cs="Calibri"/>
          <w:bCs/>
          <w:sz w:val="20"/>
          <w:szCs w:val="20"/>
          <w:lang w:val="en-US"/>
        </w:rPr>
        <w:t xml:space="preserve">, P., </w:t>
      </w:r>
      <w:proofErr w:type="spellStart"/>
      <w:r w:rsidRPr="00FC1892">
        <w:rPr>
          <w:rFonts w:cs="Calibri"/>
          <w:bCs/>
          <w:sz w:val="20"/>
          <w:szCs w:val="20"/>
          <w:lang w:val="en-US"/>
        </w:rPr>
        <w:t>Linne</w:t>
      </w:r>
      <w:proofErr w:type="spellEnd"/>
      <w:r w:rsidRPr="00FC1892">
        <w:rPr>
          <w:rFonts w:cs="Calibri"/>
          <w:bCs/>
          <w:sz w:val="20"/>
          <w:szCs w:val="20"/>
          <w:lang w:val="en-US"/>
        </w:rPr>
        <w:t xml:space="preserve">, U., </w:t>
      </w:r>
      <w:proofErr w:type="spellStart"/>
      <w:r w:rsidRPr="00FC1892">
        <w:rPr>
          <w:rFonts w:cs="Calibri"/>
          <w:bCs/>
          <w:sz w:val="20"/>
          <w:szCs w:val="20"/>
          <w:lang w:val="en-US"/>
        </w:rPr>
        <w:t>Rastan</w:t>
      </w:r>
      <w:proofErr w:type="spellEnd"/>
      <w:r w:rsidRPr="00FC1892">
        <w:rPr>
          <w:rFonts w:cs="Calibri"/>
          <w:bCs/>
          <w:sz w:val="20"/>
          <w:szCs w:val="20"/>
          <w:lang w:val="en-US"/>
        </w:rPr>
        <w:t xml:space="preserve">, A. J., Vogt, S., </w:t>
      </w:r>
      <w:proofErr w:type="spellStart"/>
      <w:r w:rsidRPr="00FC1892">
        <w:rPr>
          <w:rFonts w:cs="Calibri"/>
          <w:bCs/>
          <w:sz w:val="20"/>
          <w:szCs w:val="20"/>
          <w:lang w:val="en-US"/>
        </w:rPr>
        <w:t>Ruchholtz</w:t>
      </w:r>
      <w:proofErr w:type="spellEnd"/>
      <w:r w:rsidRPr="00FC1892">
        <w:rPr>
          <w:rFonts w:cs="Calibri"/>
          <w:bCs/>
          <w:sz w:val="20"/>
          <w:szCs w:val="20"/>
          <w:lang w:val="en-US"/>
        </w:rPr>
        <w:t xml:space="preserve">, S., </w:t>
      </w:r>
      <w:proofErr w:type="spellStart"/>
      <w:r w:rsidRPr="00FC1892">
        <w:rPr>
          <w:rFonts w:cs="Calibri"/>
          <w:bCs/>
          <w:sz w:val="20"/>
          <w:szCs w:val="20"/>
          <w:lang w:val="en-US"/>
        </w:rPr>
        <w:t>Paletta</w:t>
      </w:r>
      <w:proofErr w:type="spellEnd"/>
      <w:r w:rsidRPr="00FC1892">
        <w:rPr>
          <w:rFonts w:cs="Calibri"/>
          <w:bCs/>
          <w:sz w:val="20"/>
          <w:szCs w:val="20"/>
          <w:lang w:val="en-US"/>
        </w:rPr>
        <w:t xml:space="preserve">, J. R. J., &amp; </w:t>
      </w:r>
      <w:proofErr w:type="spellStart"/>
      <w:r w:rsidRPr="00FC1892">
        <w:rPr>
          <w:rFonts w:cs="Calibri"/>
          <w:bCs/>
          <w:sz w:val="20"/>
          <w:szCs w:val="20"/>
          <w:lang w:val="en-US"/>
        </w:rPr>
        <w:t>Günther</w:t>
      </w:r>
      <w:proofErr w:type="spellEnd"/>
      <w:r w:rsidRPr="00FC1892">
        <w:rPr>
          <w:rFonts w:cs="Calibri"/>
          <w:bCs/>
          <w:sz w:val="20"/>
          <w:szCs w:val="20"/>
          <w:lang w:val="en-US"/>
        </w:rPr>
        <w:t xml:space="preserve">, M. (2025). Implant-Derived </w:t>
      </w:r>
      <w:r w:rsidRPr="00FC1892">
        <w:rPr>
          <w:rFonts w:cs="Calibri"/>
          <w:bCs/>
          <w:i/>
          <w:sz w:val="20"/>
          <w:szCs w:val="20"/>
          <w:lang w:val="en-US"/>
        </w:rPr>
        <w:t>S. aureus</w:t>
      </w:r>
      <w:r w:rsidRPr="00FC1892">
        <w:rPr>
          <w:rFonts w:cs="Calibri"/>
          <w:bCs/>
          <w:sz w:val="20"/>
          <w:szCs w:val="20"/>
          <w:lang w:val="en-US"/>
        </w:rPr>
        <w:t xml:space="preserve"> Isolates Drive Strain-Specific Invasion Dynamics and </w:t>
      </w:r>
      <w:proofErr w:type="spellStart"/>
      <w:r w:rsidRPr="00FC1892">
        <w:rPr>
          <w:rFonts w:cs="Calibri"/>
          <w:bCs/>
          <w:sz w:val="20"/>
          <w:szCs w:val="20"/>
          <w:lang w:val="en-US"/>
        </w:rPr>
        <w:t>Bioenergetic</w:t>
      </w:r>
      <w:proofErr w:type="spellEnd"/>
      <w:r w:rsidRPr="00FC1892">
        <w:rPr>
          <w:rFonts w:cs="Calibri"/>
          <w:bCs/>
          <w:sz w:val="20"/>
          <w:szCs w:val="20"/>
          <w:lang w:val="en-US"/>
        </w:rPr>
        <w:t xml:space="preserve"> Alterations in Osteoblasts. </w:t>
      </w:r>
      <w:r w:rsidRPr="00FC1892">
        <w:rPr>
          <w:rFonts w:cs="Calibri"/>
          <w:bCs/>
          <w:i/>
          <w:iCs/>
          <w:sz w:val="20"/>
          <w:szCs w:val="20"/>
          <w:lang w:val="en-US"/>
        </w:rPr>
        <w:t>Antibiotics</w:t>
      </w:r>
      <w:r w:rsidRPr="00FC1892">
        <w:rPr>
          <w:rFonts w:cs="Calibri"/>
          <w:bCs/>
          <w:sz w:val="20"/>
          <w:szCs w:val="20"/>
          <w:lang w:val="en-US"/>
        </w:rPr>
        <w:t>,</w:t>
      </w:r>
      <w:r w:rsidR="003B686A">
        <w:rPr>
          <w:rFonts w:cs="Calibri"/>
          <w:bCs/>
          <w:sz w:val="20"/>
          <w:szCs w:val="20"/>
          <w:lang w:val="en-US"/>
        </w:rPr>
        <w:t xml:space="preserve"> </w:t>
      </w:r>
      <w:r w:rsidRPr="00FC1892">
        <w:rPr>
          <w:rFonts w:cs="Calibri"/>
          <w:bCs/>
          <w:i/>
          <w:iCs/>
          <w:sz w:val="20"/>
          <w:szCs w:val="20"/>
          <w:lang w:val="en-US"/>
        </w:rPr>
        <w:t>14</w:t>
      </w:r>
      <w:r w:rsidRPr="00FC1892">
        <w:rPr>
          <w:rFonts w:cs="Calibri"/>
          <w:bCs/>
          <w:sz w:val="20"/>
          <w:szCs w:val="20"/>
          <w:lang w:val="en-US"/>
        </w:rPr>
        <w:t>(2),</w:t>
      </w:r>
      <w:r w:rsidR="003B686A">
        <w:rPr>
          <w:rFonts w:cs="Calibri"/>
          <w:bCs/>
          <w:sz w:val="20"/>
          <w:szCs w:val="20"/>
          <w:lang w:val="en-US"/>
        </w:rPr>
        <w:t xml:space="preserve"> </w:t>
      </w:r>
      <w:r w:rsidRPr="00FC1892">
        <w:rPr>
          <w:rFonts w:cs="Calibri"/>
          <w:bCs/>
          <w:sz w:val="20"/>
          <w:szCs w:val="20"/>
          <w:lang w:val="en-US"/>
        </w:rPr>
        <w:t>119. https://doi.org/10.3390/antibiotics14020119</w:t>
      </w:r>
    </w:p>
    <w:p w14:paraId="6906130E" w14:textId="38F35BCC" w:rsidR="00EE09AE" w:rsidRPr="00494BC6" w:rsidRDefault="00EE09AE" w:rsidP="00EE09AE">
      <w:pPr>
        <w:spacing w:after="0" w:line="240" w:lineRule="auto"/>
        <w:jc w:val="both"/>
        <w:rPr>
          <w:rFonts w:cs="Calibri"/>
          <w:bCs/>
          <w:sz w:val="20"/>
          <w:szCs w:val="20"/>
        </w:rPr>
      </w:pPr>
      <w:r w:rsidRPr="00FC1892">
        <w:rPr>
          <w:rFonts w:cs="Calibri"/>
          <w:bCs/>
          <w:sz w:val="20"/>
          <w:szCs w:val="20"/>
          <w:lang w:val="en-US"/>
        </w:rPr>
        <w:lastRenderedPageBreak/>
        <w:t xml:space="preserve">Suleiman, M. M., </w:t>
      </w:r>
      <w:proofErr w:type="spellStart"/>
      <w:r w:rsidRPr="00FC1892">
        <w:rPr>
          <w:rFonts w:cs="Calibri"/>
          <w:bCs/>
          <w:sz w:val="20"/>
          <w:szCs w:val="20"/>
          <w:lang w:val="en-US"/>
        </w:rPr>
        <w:t>Motolani</w:t>
      </w:r>
      <w:proofErr w:type="spellEnd"/>
      <w:r w:rsidRPr="00FC1892">
        <w:rPr>
          <w:rFonts w:cs="Calibri"/>
          <w:bCs/>
          <w:sz w:val="20"/>
          <w:szCs w:val="20"/>
          <w:lang w:val="en-US"/>
        </w:rPr>
        <w:t xml:space="preserve">, A. M., Mohammed, O. M., </w:t>
      </w:r>
      <w:proofErr w:type="spellStart"/>
      <w:r w:rsidRPr="00FC1892">
        <w:rPr>
          <w:rFonts w:cs="Calibri"/>
          <w:bCs/>
          <w:sz w:val="20"/>
          <w:szCs w:val="20"/>
          <w:lang w:val="en-US"/>
        </w:rPr>
        <w:t>Adetunji</w:t>
      </w:r>
      <w:proofErr w:type="spellEnd"/>
      <w:r w:rsidRPr="00FC1892">
        <w:rPr>
          <w:rFonts w:cs="Calibri"/>
          <w:bCs/>
          <w:sz w:val="20"/>
          <w:szCs w:val="20"/>
          <w:lang w:val="en-US"/>
        </w:rPr>
        <w:t xml:space="preserve">, N. O., &amp; </w:t>
      </w:r>
      <w:proofErr w:type="spellStart"/>
      <w:r w:rsidRPr="00FC1892">
        <w:rPr>
          <w:rFonts w:cs="Calibri"/>
          <w:bCs/>
          <w:sz w:val="20"/>
          <w:szCs w:val="20"/>
          <w:lang w:val="en-US"/>
        </w:rPr>
        <w:t>Giwa</w:t>
      </w:r>
      <w:proofErr w:type="spellEnd"/>
      <w:r w:rsidRPr="00FC1892">
        <w:rPr>
          <w:rFonts w:cs="Calibri"/>
          <w:bCs/>
          <w:sz w:val="20"/>
          <w:szCs w:val="20"/>
          <w:lang w:val="en-US"/>
        </w:rPr>
        <w:t xml:space="preserve">, A. O. (2023). Comparative Analysis of the Antibacterial Activity of Ethanolic and Silver Nitrate </w:t>
      </w:r>
      <w:r w:rsidRPr="00FC1892">
        <w:rPr>
          <w:rFonts w:cs="Calibri"/>
          <w:bCs/>
          <w:sz w:val="20"/>
          <w:szCs w:val="20"/>
          <w:lang w:val="en-US"/>
        </w:rPr>
        <w:tab/>
        <w:t xml:space="preserve">synthesized Extract of Mango Leaf </w:t>
      </w:r>
      <w:r w:rsidRPr="00FC1892">
        <w:rPr>
          <w:rFonts w:cs="Calibri"/>
          <w:bCs/>
          <w:sz w:val="20"/>
          <w:szCs w:val="20"/>
          <w:lang w:val="en-US"/>
        </w:rPr>
        <w:lastRenderedPageBreak/>
        <w:t xml:space="preserve">and Bark against </w:t>
      </w:r>
      <w:r w:rsidRPr="00FC1892">
        <w:rPr>
          <w:rFonts w:cs="Calibri"/>
          <w:bCs/>
          <w:i/>
          <w:sz w:val="20"/>
          <w:szCs w:val="20"/>
          <w:lang w:val="en-US"/>
        </w:rPr>
        <w:t>Escherichia coli</w:t>
      </w:r>
      <w:r w:rsidRPr="00FC1892">
        <w:rPr>
          <w:rFonts w:cs="Calibri"/>
          <w:bCs/>
          <w:sz w:val="20"/>
          <w:szCs w:val="20"/>
          <w:lang w:val="en-US"/>
        </w:rPr>
        <w:t xml:space="preserve"> and </w:t>
      </w:r>
      <w:r w:rsidR="003B686A">
        <w:rPr>
          <w:rFonts w:cs="Calibri"/>
          <w:bCs/>
          <w:i/>
          <w:sz w:val="20"/>
          <w:szCs w:val="20"/>
          <w:lang w:val="en-US"/>
        </w:rPr>
        <w:t xml:space="preserve">Staphylococcus </w:t>
      </w:r>
      <w:r w:rsidRPr="00FC1892">
        <w:rPr>
          <w:rFonts w:cs="Calibri"/>
          <w:bCs/>
          <w:i/>
          <w:sz w:val="20"/>
          <w:szCs w:val="20"/>
          <w:lang w:val="en-US"/>
        </w:rPr>
        <w:t>aureus</w:t>
      </w:r>
      <w:r w:rsidRPr="00FC1892">
        <w:rPr>
          <w:rFonts w:cs="Calibri"/>
          <w:bCs/>
          <w:sz w:val="20"/>
          <w:szCs w:val="20"/>
          <w:lang w:val="en-US"/>
        </w:rPr>
        <w:t xml:space="preserve"> from Clinical Samples. </w:t>
      </w:r>
      <w:r w:rsidR="003B686A">
        <w:rPr>
          <w:rFonts w:cs="Calibri"/>
          <w:bCs/>
          <w:i/>
          <w:iCs/>
          <w:sz w:val="20"/>
          <w:szCs w:val="20"/>
          <w:lang w:val="en-US"/>
        </w:rPr>
        <w:t>ABUAD International</w:t>
      </w:r>
      <w:r w:rsidRPr="00FC1892">
        <w:rPr>
          <w:rFonts w:cs="Calibri"/>
          <w:bCs/>
          <w:i/>
          <w:iCs/>
          <w:sz w:val="20"/>
          <w:szCs w:val="20"/>
          <w:lang w:val="en-US"/>
        </w:rPr>
        <w:t xml:space="preserve"> Journal of Natural and Applied Sciences</w:t>
      </w:r>
      <w:r w:rsidRPr="00FC1892">
        <w:rPr>
          <w:rFonts w:cs="Calibri"/>
          <w:bCs/>
          <w:sz w:val="20"/>
          <w:szCs w:val="20"/>
          <w:lang w:val="en-US"/>
        </w:rPr>
        <w:t xml:space="preserve">, </w:t>
      </w:r>
      <w:r w:rsidRPr="00FC1892">
        <w:rPr>
          <w:rFonts w:cs="Calibri"/>
          <w:bCs/>
          <w:i/>
          <w:iCs/>
          <w:sz w:val="20"/>
          <w:szCs w:val="20"/>
          <w:lang w:val="en-US"/>
        </w:rPr>
        <w:t>3</w:t>
      </w:r>
      <w:r w:rsidR="003B686A">
        <w:rPr>
          <w:rFonts w:cs="Calibri"/>
          <w:bCs/>
          <w:sz w:val="20"/>
          <w:szCs w:val="20"/>
          <w:lang w:val="en-US"/>
        </w:rPr>
        <w:t xml:space="preserve">(1), </w:t>
      </w:r>
      <w:r w:rsidRPr="00FC1892">
        <w:rPr>
          <w:rFonts w:cs="Calibri"/>
          <w:bCs/>
          <w:sz w:val="20"/>
          <w:szCs w:val="20"/>
          <w:lang w:val="en-US"/>
        </w:rPr>
        <w:t>16–20.</w:t>
      </w:r>
      <w:r w:rsidR="003B686A">
        <w:rPr>
          <w:rFonts w:cs="Calibri"/>
          <w:bCs/>
          <w:sz w:val="20"/>
          <w:szCs w:val="20"/>
          <w:lang w:val="en-US"/>
        </w:rPr>
        <w:t xml:space="preserve"> </w:t>
      </w:r>
      <w:hyperlink r:id="rId18" w:history="1">
        <w:r w:rsidRPr="00FC1892">
          <w:rPr>
            <w:rStyle w:val="Hyperlink"/>
            <w:rFonts w:cs="Calibri"/>
            <w:bCs/>
            <w:sz w:val="20"/>
            <w:szCs w:val="20"/>
            <w:lang w:val="en-US"/>
          </w:rPr>
          <w:t>https://doi.org/10.53982/aijnas.2023.0301.02-j</w:t>
        </w:r>
      </w:hyperlink>
    </w:p>
    <w:p w14:paraId="730B1828" w14:textId="77777777" w:rsidR="00EE09AE" w:rsidRDefault="00EE09AE" w:rsidP="00EE09AE">
      <w:pPr>
        <w:spacing w:after="0" w:line="240" w:lineRule="auto"/>
        <w:jc w:val="both"/>
        <w:rPr>
          <w:rFonts w:cs="Calibri"/>
          <w:bCs/>
          <w:sz w:val="20"/>
          <w:szCs w:val="20"/>
        </w:rPr>
        <w:sectPr w:rsidR="00EE09AE" w:rsidSect="00EE09AE">
          <w:type w:val="continuous"/>
          <w:pgSz w:w="12240" w:h="15840"/>
          <w:pgMar w:top="1440" w:right="1440" w:bottom="1440" w:left="1440" w:header="720" w:footer="720" w:gutter="0"/>
          <w:cols w:num="2" w:space="720"/>
          <w:docGrid w:linePitch="360"/>
        </w:sectPr>
      </w:pPr>
    </w:p>
    <w:p w14:paraId="767044EF" w14:textId="4AD89CFB" w:rsidR="00937D41" w:rsidRPr="00494BC6" w:rsidRDefault="00937D41" w:rsidP="00EE09AE">
      <w:pPr>
        <w:spacing w:after="0" w:line="240" w:lineRule="auto"/>
        <w:jc w:val="both"/>
        <w:rPr>
          <w:rFonts w:cs="Calibri"/>
          <w:bCs/>
          <w:sz w:val="20"/>
          <w:szCs w:val="20"/>
        </w:rPr>
      </w:pPr>
    </w:p>
    <w:sectPr w:rsidR="00937D41" w:rsidRPr="00494BC6" w:rsidSect="00EE09A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93F761" w14:textId="77777777" w:rsidR="00C06446" w:rsidRDefault="00C06446">
      <w:pPr>
        <w:spacing w:line="240" w:lineRule="auto"/>
      </w:pPr>
      <w:r>
        <w:separator/>
      </w:r>
    </w:p>
  </w:endnote>
  <w:endnote w:type="continuationSeparator" w:id="0">
    <w:p w14:paraId="52F1A347" w14:textId="77777777" w:rsidR="00C06446" w:rsidRDefault="00C064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GaramondPro-Regular">
    <w:altName w:val="Times New Roman"/>
    <w:panose1 w:val="00000000000000000000"/>
    <w:charset w:val="00"/>
    <w:family w:val="roman"/>
    <w:notTrueType/>
    <w:pitch w:val="default"/>
  </w:font>
  <w:font w:name="F">
    <w:altName w:val="Calibri"/>
    <w:charset w:val="00"/>
    <w:family w:val="auto"/>
    <w:pitch w:val="default"/>
    <w:sig w:usb0="00000000" w:usb1="00000000" w:usb2="00000000" w:usb3="00000000" w:csb0="00040001" w:csb1="00000000"/>
  </w:font>
  <w:font w:name="PKEGH B+ T T 3 C 078o 00">
    <w:altName w:val="Cambria"/>
    <w:panose1 w:val="00000000000000000000"/>
    <w:charset w:val="00"/>
    <w:family w:val="roman"/>
    <w:notTrueType/>
    <w:pitch w:val="default"/>
    <w:sig w:usb0="00000003" w:usb1="00000000" w:usb2="00000000" w:usb3="00000000" w:csb0="00000001" w:csb1="00000000"/>
  </w:font>
  <w:font w:name="PKEGF N+ T T 3 C 074o 00">
    <w:altName w:val="Calibri"/>
    <w:panose1 w:val="00000000000000000000"/>
    <w:charset w:val="00"/>
    <w:family w:val="swiss"/>
    <w:notTrueType/>
    <w:pitch w:val="default"/>
    <w:sig w:usb0="00000003" w:usb1="00000000" w:usb2="00000000" w:usb3="00000000" w:csb0="00000001" w:csb1="00000000"/>
  </w:font>
  <w:font w:name="Merriweather Sans">
    <w:charset w:val="00"/>
    <w:family w:val="auto"/>
    <w:pitch w:val="variable"/>
    <w:sig w:usb0="A00004FF" w:usb1="4000207B" w:usb2="00000000" w:usb3="00000000" w:csb0="00000193" w:csb1="00000000"/>
  </w:font>
  <w:font w:name="Trade Gothic LT Std C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1B599" w14:textId="29649A4D" w:rsidR="00EC4F1E" w:rsidRDefault="00A85029">
    <w:pPr>
      <w:pStyle w:val="Footer"/>
      <w:tabs>
        <w:tab w:val="clear" w:pos="4680"/>
        <w:tab w:val="clear" w:pos="9360"/>
      </w:tabs>
      <w:rPr>
        <w:rFonts w:asciiTheme="minorHAnsi" w:hAnsiTheme="minorHAnsi" w:cstheme="minorHAnsi"/>
        <w:i/>
        <w:sz w:val="20"/>
        <w:szCs w:val="20"/>
      </w:rPr>
    </w:pPr>
    <w:proofErr w:type="spellStart"/>
    <w:r>
      <w:rPr>
        <w:rFonts w:asciiTheme="minorHAnsi" w:hAnsiTheme="minorHAnsi" w:cstheme="minorHAnsi"/>
        <w:iCs/>
        <w:sz w:val="20"/>
        <w:szCs w:val="20"/>
        <w:lang w:val="en-US"/>
      </w:rPr>
      <w:t>Adamu</w:t>
    </w:r>
    <w:proofErr w:type="spellEnd"/>
    <w:r w:rsidR="00EC4F1E">
      <w:rPr>
        <w:rFonts w:asciiTheme="minorHAnsi" w:hAnsiTheme="minorHAnsi" w:cstheme="minorHAnsi"/>
        <w:i/>
        <w:iCs/>
        <w:sz w:val="20"/>
        <w:szCs w:val="20"/>
      </w:rPr>
      <w:t xml:space="preserve"> </w:t>
    </w:r>
    <w:r w:rsidR="00EC4F1E">
      <w:rPr>
        <w:rFonts w:asciiTheme="minorHAnsi" w:hAnsiTheme="minorHAnsi" w:cstheme="minorHAnsi"/>
        <w:i/>
        <w:sz w:val="20"/>
        <w:szCs w:val="20"/>
      </w:rPr>
      <w:t>et al.</w:t>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EC4F1E">
      <w:rPr>
        <w:rFonts w:asciiTheme="minorHAnsi" w:hAnsiTheme="minorHAnsi" w:cstheme="minorHAnsi"/>
        <w:bCs/>
        <w:iCs/>
        <w:sz w:val="20"/>
        <w:szCs w:val="20"/>
        <w:lang w:val="en-US"/>
      </w:rPr>
      <w:tab/>
    </w:r>
    <w:r w:rsidR="008F5805" w:rsidRPr="00B35A52">
      <w:rPr>
        <w:rFonts w:asciiTheme="minorHAnsi" w:hAnsiTheme="minorHAnsi" w:cstheme="minorHAnsi"/>
        <w:sz w:val="20"/>
        <w:szCs w:val="20"/>
      </w:rPr>
      <w:fldChar w:fldCharType="begin"/>
    </w:r>
    <w:r w:rsidR="008F5805" w:rsidRPr="00B35A52">
      <w:rPr>
        <w:rFonts w:asciiTheme="minorHAnsi" w:hAnsiTheme="minorHAnsi" w:cstheme="minorHAnsi"/>
        <w:sz w:val="20"/>
        <w:szCs w:val="20"/>
      </w:rPr>
      <w:instrText>PAGE</w:instrText>
    </w:r>
    <w:r w:rsidR="008F5805" w:rsidRPr="00B35A52">
      <w:rPr>
        <w:rFonts w:asciiTheme="minorHAnsi" w:hAnsiTheme="minorHAnsi" w:cstheme="minorHAnsi"/>
        <w:sz w:val="20"/>
        <w:szCs w:val="20"/>
      </w:rPr>
      <w:fldChar w:fldCharType="separate"/>
    </w:r>
    <w:r w:rsidR="00ED3621">
      <w:rPr>
        <w:rFonts w:asciiTheme="minorHAnsi" w:hAnsiTheme="minorHAnsi" w:cstheme="minorHAnsi"/>
        <w:noProof/>
        <w:sz w:val="20"/>
        <w:szCs w:val="20"/>
      </w:rPr>
      <w:t>310</w:t>
    </w:r>
    <w:r w:rsidR="008F5805" w:rsidRPr="00B35A52">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C3063F" w14:textId="77777777" w:rsidR="00C06446" w:rsidRDefault="00C06446">
      <w:pPr>
        <w:spacing w:after="0"/>
      </w:pPr>
      <w:r>
        <w:separator/>
      </w:r>
    </w:p>
  </w:footnote>
  <w:footnote w:type="continuationSeparator" w:id="0">
    <w:p w14:paraId="3424E7C4" w14:textId="77777777" w:rsidR="00C06446" w:rsidRDefault="00C0644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2C74B" w14:textId="2997D4C4" w:rsidR="00EC4F1E" w:rsidRDefault="00EC4F1E">
    <w:pPr>
      <w:spacing w:line="240" w:lineRule="auto"/>
      <w:jc w:val="center"/>
      <w:rPr>
        <w:rFonts w:cs="Calibri"/>
        <w:b/>
        <w:szCs w:val="20"/>
      </w:rPr>
    </w:pPr>
    <w:r>
      <w:rPr>
        <w:rFonts w:cs="Calibri"/>
        <w:b/>
        <w:i/>
        <w:szCs w:val="20"/>
      </w:rPr>
      <w:t>Sahel Journal of Life Sciences FUDMA 4</w:t>
    </w:r>
    <w:r>
      <w:rPr>
        <w:rFonts w:cs="Calibri"/>
        <w:b/>
        <w:szCs w:val="20"/>
      </w:rPr>
      <w:t xml:space="preserve">(3): </w:t>
    </w:r>
    <w:r w:rsidR="007C7586">
      <w:rPr>
        <w:rFonts w:cs="Calibri"/>
        <w:b/>
        <w:szCs w:val="20"/>
      </w:rPr>
      <w:t>305</w:t>
    </w:r>
    <w:r>
      <w:rPr>
        <w:rFonts w:cs="Calibri"/>
        <w:b/>
        <w:szCs w:val="20"/>
      </w:rPr>
      <w:t>-</w:t>
    </w:r>
    <w:r w:rsidR="007C7586">
      <w:rPr>
        <w:rFonts w:cs="Calibri"/>
        <w:b/>
        <w:szCs w:val="20"/>
      </w:rPr>
      <w:t>310</w:t>
    </w:r>
    <w:r>
      <w:rPr>
        <w:rFonts w:cs="Calibri"/>
        <w:b/>
        <w:szCs w:val="20"/>
      </w:rPr>
      <w:t>,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B5946" w14:textId="77777777" w:rsidR="00EC4F1E" w:rsidRDefault="00EC4F1E">
    <w:pPr>
      <w:pStyle w:val="Header"/>
      <w:tabs>
        <w:tab w:val="clear" w:pos="4680"/>
        <w:tab w:val="clear" w:pos="9360"/>
        <w:tab w:val="left" w:pos="244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537751"/>
    <w:multiLevelType w:val="hybridMultilevel"/>
    <w:tmpl w:val="F0A6D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E1351D"/>
    <w:multiLevelType w:val="multilevel"/>
    <w:tmpl w:val="CAD4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C35886"/>
    <w:multiLevelType w:val="hybridMultilevel"/>
    <w:tmpl w:val="3B78F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E07DE9"/>
    <w:multiLevelType w:val="multilevel"/>
    <w:tmpl w:val="23E07DE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8365D0F"/>
    <w:multiLevelType w:val="multilevel"/>
    <w:tmpl w:val="81BE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5331C1"/>
    <w:multiLevelType w:val="hybridMultilevel"/>
    <w:tmpl w:val="AB266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1634E8"/>
    <w:multiLevelType w:val="multilevel"/>
    <w:tmpl w:val="DB4A5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036E2F"/>
    <w:multiLevelType w:val="hybridMultilevel"/>
    <w:tmpl w:val="81F4D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09A"/>
    <w:multiLevelType w:val="multilevel"/>
    <w:tmpl w:val="33D28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9F4134F"/>
    <w:multiLevelType w:val="multilevel"/>
    <w:tmpl w:val="E88A9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9C0234"/>
    <w:multiLevelType w:val="multilevel"/>
    <w:tmpl w:val="85B84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AF3D7A"/>
    <w:multiLevelType w:val="hybridMultilevel"/>
    <w:tmpl w:val="EF0AEF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25C7849"/>
    <w:multiLevelType w:val="hybridMultilevel"/>
    <w:tmpl w:val="01160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93040A"/>
    <w:multiLevelType w:val="hybridMultilevel"/>
    <w:tmpl w:val="8A5C7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5A34A5"/>
    <w:multiLevelType w:val="hybridMultilevel"/>
    <w:tmpl w:val="06EA8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8C32E3"/>
    <w:multiLevelType w:val="multilevel"/>
    <w:tmpl w:val="D44E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C7A41"/>
    <w:multiLevelType w:val="multilevel"/>
    <w:tmpl w:val="B0BA6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371A0E"/>
    <w:multiLevelType w:val="hybridMultilevel"/>
    <w:tmpl w:val="8D963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F9546E"/>
    <w:multiLevelType w:val="hybridMultilevel"/>
    <w:tmpl w:val="09A8E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567E93"/>
    <w:multiLevelType w:val="multilevel"/>
    <w:tmpl w:val="483A4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A03059"/>
    <w:multiLevelType w:val="multilevel"/>
    <w:tmpl w:val="07E89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5114A8"/>
    <w:multiLevelType w:val="hybridMultilevel"/>
    <w:tmpl w:val="4586744E"/>
    <w:lvl w:ilvl="0" w:tplc="60529E9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F91917"/>
    <w:multiLevelType w:val="hybridMultilevel"/>
    <w:tmpl w:val="888CC2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E474018"/>
    <w:multiLevelType w:val="multilevel"/>
    <w:tmpl w:val="7E4740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
  </w:num>
  <w:num w:numId="3">
    <w:abstractNumId w:val="4"/>
  </w:num>
  <w:num w:numId="4">
    <w:abstractNumId w:val="23"/>
  </w:num>
  <w:num w:numId="5">
    <w:abstractNumId w:val="3"/>
  </w:num>
  <w:num w:numId="6">
    <w:abstractNumId w:val="8"/>
  </w:num>
  <w:num w:numId="7">
    <w:abstractNumId w:val="15"/>
  </w:num>
  <w:num w:numId="8">
    <w:abstractNumId w:val="21"/>
  </w:num>
  <w:num w:numId="9">
    <w:abstractNumId w:val="14"/>
  </w:num>
  <w:num w:numId="10">
    <w:abstractNumId w:val="12"/>
  </w:num>
  <w:num w:numId="11">
    <w:abstractNumId w:val="18"/>
  </w:num>
  <w:num w:numId="12">
    <w:abstractNumId w:val="0"/>
  </w:num>
  <w:num w:numId="13">
    <w:abstractNumId w:val="13"/>
  </w:num>
  <w:num w:numId="14">
    <w:abstractNumId w:val="7"/>
  </w:num>
  <w:num w:numId="15">
    <w:abstractNumId w:val="5"/>
  </w:num>
  <w:num w:numId="16">
    <w:abstractNumId w:val="17"/>
  </w:num>
  <w:num w:numId="17">
    <w:abstractNumId w:val="2"/>
  </w:num>
  <w:num w:numId="18">
    <w:abstractNumId w:val="9"/>
  </w:num>
  <w:num w:numId="19">
    <w:abstractNumId w:val="10"/>
  </w:num>
  <w:num w:numId="20">
    <w:abstractNumId w:val="16"/>
  </w:num>
  <w:num w:numId="21">
    <w:abstractNumId w:val="19"/>
  </w:num>
  <w:num w:numId="22">
    <w:abstractNumId w:val="20"/>
  </w:num>
  <w:num w:numId="23">
    <w:abstractNumId w:val="11"/>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481"/>
    <w:rsid w:val="000002DA"/>
    <w:rsid w:val="000008B2"/>
    <w:rsid w:val="000021EE"/>
    <w:rsid w:val="000028A5"/>
    <w:rsid w:val="00002B48"/>
    <w:rsid w:val="0000305D"/>
    <w:rsid w:val="000047EE"/>
    <w:rsid w:val="00004982"/>
    <w:rsid w:val="00004CDD"/>
    <w:rsid w:val="00005279"/>
    <w:rsid w:val="0000676A"/>
    <w:rsid w:val="00006FD4"/>
    <w:rsid w:val="00007C75"/>
    <w:rsid w:val="000110F3"/>
    <w:rsid w:val="00011640"/>
    <w:rsid w:val="00013BFB"/>
    <w:rsid w:val="0001402D"/>
    <w:rsid w:val="00015921"/>
    <w:rsid w:val="00015F48"/>
    <w:rsid w:val="00016EAB"/>
    <w:rsid w:val="00017219"/>
    <w:rsid w:val="00017FE3"/>
    <w:rsid w:val="00020FB7"/>
    <w:rsid w:val="00021F4B"/>
    <w:rsid w:val="0002335A"/>
    <w:rsid w:val="00023463"/>
    <w:rsid w:val="00023A15"/>
    <w:rsid w:val="00023ECC"/>
    <w:rsid w:val="00024367"/>
    <w:rsid w:val="0002460B"/>
    <w:rsid w:val="000253FD"/>
    <w:rsid w:val="000261D9"/>
    <w:rsid w:val="00030643"/>
    <w:rsid w:val="00030EE6"/>
    <w:rsid w:val="000310F6"/>
    <w:rsid w:val="000323B1"/>
    <w:rsid w:val="00032E78"/>
    <w:rsid w:val="0003311F"/>
    <w:rsid w:val="000340BB"/>
    <w:rsid w:val="0003438D"/>
    <w:rsid w:val="000347E5"/>
    <w:rsid w:val="000349C0"/>
    <w:rsid w:val="00034C19"/>
    <w:rsid w:val="00034D2A"/>
    <w:rsid w:val="00035B0E"/>
    <w:rsid w:val="00035D9B"/>
    <w:rsid w:val="0003677D"/>
    <w:rsid w:val="000368B1"/>
    <w:rsid w:val="00036D07"/>
    <w:rsid w:val="00036F50"/>
    <w:rsid w:val="00037680"/>
    <w:rsid w:val="00037A98"/>
    <w:rsid w:val="00037BED"/>
    <w:rsid w:val="00040E51"/>
    <w:rsid w:val="00041536"/>
    <w:rsid w:val="0004304F"/>
    <w:rsid w:val="00045211"/>
    <w:rsid w:val="00046361"/>
    <w:rsid w:val="000474CD"/>
    <w:rsid w:val="00047EA9"/>
    <w:rsid w:val="0005069C"/>
    <w:rsid w:val="0005082C"/>
    <w:rsid w:val="0005291F"/>
    <w:rsid w:val="00052FBD"/>
    <w:rsid w:val="00054536"/>
    <w:rsid w:val="000549BC"/>
    <w:rsid w:val="00055952"/>
    <w:rsid w:val="00055A19"/>
    <w:rsid w:val="00055A70"/>
    <w:rsid w:val="00055B39"/>
    <w:rsid w:val="000563B8"/>
    <w:rsid w:val="00056C6B"/>
    <w:rsid w:val="00056EB0"/>
    <w:rsid w:val="0005760E"/>
    <w:rsid w:val="00057761"/>
    <w:rsid w:val="000605CE"/>
    <w:rsid w:val="000622F7"/>
    <w:rsid w:val="00062C04"/>
    <w:rsid w:val="000644AE"/>
    <w:rsid w:val="0006452B"/>
    <w:rsid w:val="00064B29"/>
    <w:rsid w:val="00065F5C"/>
    <w:rsid w:val="00066E5A"/>
    <w:rsid w:val="00067497"/>
    <w:rsid w:val="00067D21"/>
    <w:rsid w:val="00070994"/>
    <w:rsid w:val="00071DC2"/>
    <w:rsid w:val="00072CBF"/>
    <w:rsid w:val="00072EA6"/>
    <w:rsid w:val="00074542"/>
    <w:rsid w:val="00074592"/>
    <w:rsid w:val="00074B21"/>
    <w:rsid w:val="0007539F"/>
    <w:rsid w:val="0007588E"/>
    <w:rsid w:val="00076910"/>
    <w:rsid w:val="0008059B"/>
    <w:rsid w:val="00080A17"/>
    <w:rsid w:val="00080CD6"/>
    <w:rsid w:val="00081F0A"/>
    <w:rsid w:val="00081FF7"/>
    <w:rsid w:val="0008278E"/>
    <w:rsid w:val="0008355A"/>
    <w:rsid w:val="00084059"/>
    <w:rsid w:val="00084DCC"/>
    <w:rsid w:val="00085AB5"/>
    <w:rsid w:val="00086836"/>
    <w:rsid w:val="00086C25"/>
    <w:rsid w:val="00086FEA"/>
    <w:rsid w:val="000876AF"/>
    <w:rsid w:val="000876CC"/>
    <w:rsid w:val="00087FFC"/>
    <w:rsid w:val="0009008A"/>
    <w:rsid w:val="000905EB"/>
    <w:rsid w:val="00091AB1"/>
    <w:rsid w:val="00091BE3"/>
    <w:rsid w:val="00091F79"/>
    <w:rsid w:val="000928FA"/>
    <w:rsid w:val="00092BED"/>
    <w:rsid w:val="00093D3C"/>
    <w:rsid w:val="000954CF"/>
    <w:rsid w:val="0009554D"/>
    <w:rsid w:val="00095692"/>
    <w:rsid w:val="00095944"/>
    <w:rsid w:val="00096CEA"/>
    <w:rsid w:val="000975E1"/>
    <w:rsid w:val="000A009F"/>
    <w:rsid w:val="000A0572"/>
    <w:rsid w:val="000A0B47"/>
    <w:rsid w:val="000A0DC3"/>
    <w:rsid w:val="000A2056"/>
    <w:rsid w:val="000A2268"/>
    <w:rsid w:val="000A316A"/>
    <w:rsid w:val="000A385A"/>
    <w:rsid w:val="000A390E"/>
    <w:rsid w:val="000A3D1C"/>
    <w:rsid w:val="000A402C"/>
    <w:rsid w:val="000A468B"/>
    <w:rsid w:val="000A52E8"/>
    <w:rsid w:val="000A5433"/>
    <w:rsid w:val="000A543D"/>
    <w:rsid w:val="000A569E"/>
    <w:rsid w:val="000A57B2"/>
    <w:rsid w:val="000A5FFB"/>
    <w:rsid w:val="000A65FB"/>
    <w:rsid w:val="000A6811"/>
    <w:rsid w:val="000A6A5E"/>
    <w:rsid w:val="000A7573"/>
    <w:rsid w:val="000B106C"/>
    <w:rsid w:val="000B24BE"/>
    <w:rsid w:val="000B285B"/>
    <w:rsid w:val="000B2FEA"/>
    <w:rsid w:val="000B42C4"/>
    <w:rsid w:val="000B4633"/>
    <w:rsid w:val="000B51F3"/>
    <w:rsid w:val="000B6B01"/>
    <w:rsid w:val="000B6D95"/>
    <w:rsid w:val="000B7E3F"/>
    <w:rsid w:val="000C09E2"/>
    <w:rsid w:val="000C11DF"/>
    <w:rsid w:val="000C1499"/>
    <w:rsid w:val="000C18F2"/>
    <w:rsid w:val="000C1DBA"/>
    <w:rsid w:val="000C2F4B"/>
    <w:rsid w:val="000C3E9E"/>
    <w:rsid w:val="000C4577"/>
    <w:rsid w:val="000C4585"/>
    <w:rsid w:val="000C706C"/>
    <w:rsid w:val="000C7752"/>
    <w:rsid w:val="000C7CB3"/>
    <w:rsid w:val="000D022A"/>
    <w:rsid w:val="000D0C0F"/>
    <w:rsid w:val="000D1AA6"/>
    <w:rsid w:val="000D23D4"/>
    <w:rsid w:val="000D282F"/>
    <w:rsid w:val="000D5A3B"/>
    <w:rsid w:val="000D5F18"/>
    <w:rsid w:val="000D621A"/>
    <w:rsid w:val="000D6AB8"/>
    <w:rsid w:val="000D6CEE"/>
    <w:rsid w:val="000D6F15"/>
    <w:rsid w:val="000D7359"/>
    <w:rsid w:val="000D777C"/>
    <w:rsid w:val="000E1C72"/>
    <w:rsid w:val="000E26D5"/>
    <w:rsid w:val="000E2E30"/>
    <w:rsid w:val="000E32F6"/>
    <w:rsid w:val="000E445D"/>
    <w:rsid w:val="000E48F6"/>
    <w:rsid w:val="000E4DD5"/>
    <w:rsid w:val="000E55C9"/>
    <w:rsid w:val="000E651E"/>
    <w:rsid w:val="000E6933"/>
    <w:rsid w:val="000E6EEF"/>
    <w:rsid w:val="000E6FE9"/>
    <w:rsid w:val="000E75FC"/>
    <w:rsid w:val="000F064E"/>
    <w:rsid w:val="000F0D77"/>
    <w:rsid w:val="000F168F"/>
    <w:rsid w:val="000F2E93"/>
    <w:rsid w:val="000F3337"/>
    <w:rsid w:val="000F3361"/>
    <w:rsid w:val="000F3EA7"/>
    <w:rsid w:val="000F4113"/>
    <w:rsid w:val="000F745E"/>
    <w:rsid w:val="000F7C27"/>
    <w:rsid w:val="0010038E"/>
    <w:rsid w:val="0010133D"/>
    <w:rsid w:val="001022ED"/>
    <w:rsid w:val="00102C7A"/>
    <w:rsid w:val="00102DCC"/>
    <w:rsid w:val="00103993"/>
    <w:rsid w:val="001039CC"/>
    <w:rsid w:val="00103A7F"/>
    <w:rsid w:val="001059FE"/>
    <w:rsid w:val="00105D3A"/>
    <w:rsid w:val="00106787"/>
    <w:rsid w:val="00106D28"/>
    <w:rsid w:val="0010770D"/>
    <w:rsid w:val="00107CB0"/>
    <w:rsid w:val="00110358"/>
    <w:rsid w:val="0011098E"/>
    <w:rsid w:val="001111E2"/>
    <w:rsid w:val="00111601"/>
    <w:rsid w:val="00111714"/>
    <w:rsid w:val="00111E0E"/>
    <w:rsid w:val="00114A04"/>
    <w:rsid w:val="001157D7"/>
    <w:rsid w:val="00115813"/>
    <w:rsid w:val="00115F5B"/>
    <w:rsid w:val="00116BC1"/>
    <w:rsid w:val="00117132"/>
    <w:rsid w:val="00117C53"/>
    <w:rsid w:val="00120FDE"/>
    <w:rsid w:val="00121B45"/>
    <w:rsid w:val="001220EA"/>
    <w:rsid w:val="001223C0"/>
    <w:rsid w:val="0012403B"/>
    <w:rsid w:val="00124E9B"/>
    <w:rsid w:val="00125A1A"/>
    <w:rsid w:val="001275DF"/>
    <w:rsid w:val="0012787A"/>
    <w:rsid w:val="00127D2D"/>
    <w:rsid w:val="00130AB9"/>
    <w:rsid w:val="00133DB8"/>
    <w:rsid w:val="0013517C"/>
    <w:rsid w:val="001354A9"/>
    <w:rsid w:val="0013561B"/>
    <w:rsid w:val="00136271"/>
    <w:rsid w:val="00137A66"/>
    <w:rsid w:val="00137B9C"/>
    <w:rsid w:val="00140AD4"/>
    <w:rsid w:val="001416CA"/>
    <w:rsid w:val="001419A4"/>
    <w:rsid w:val="00142085"/>
    <w:rsid w:val="00142706"/>
    <w:rsid w:val="0014380B"/>
    <w:rsid w:val="001442BD"/>
    <w:rsid w:val="00150666"/>
    <w:rsid w:val="0015466B"/>
    <w:rsid w:val="00154E62"/>
    <w:rsid w:val="001560FE"/>
    <w:rsid w:val="00156CC9"/>
    <w:rsid w:val="00156CCD"/>
    <w:rsid w:val="00157136"/>
    <w:rsid w:val="00161CC4"/>
    <w:rsid w:val="001632CA"/>
    <w:rsid w:val="00163B4F"/>
    <w:rsid w:val="0016536D"/>
    <w:rsid w:val="00165611"/>
    <w:rsid w:val="00165A25"/>
    <w:rsid w:val="001669E8"/>
    <w:rsid w:val="00166F9C"/>
    <w:rsid w:val="00170798"/>
    <w:rsid w:val="00170A99"/>
    <w:rsid w:val="00170E88"/>
    <w:rsid w:val="00172187"/>
    <w:rsid w:val="00172B63"/>
    <w:rsid w:val="00172D4E"/>
    <w:rsid w:val="00174285"/>
    <w:rsid w:val="001760B0"/>
    <w:rsid w:val="00177DAF"/>
    <w:rsid w:val="00177EBC"/>
    <w:rsid w:val="00177EBF"/>
    <w:rsid w:val="001804FA"/>
    <w:rsid w:val="00180712"/>
    <w:rsid w:val="00180E40"/>
    <w:rsid w:val="001817F9"/>
    <w:rsid w:val="00181AA7"/>
    <w:rsid w:val="001820EC"/>
    <w:rsid w:val="00182852"/>
    <w:rsid w:val="00182875"/>
    <w:rsid w:val="00182DD5"/>
    <w:rsid w:val="00183F64"/>
    <w:rsid w:val="001845A1"/>
    <w:rsid w:val="00184D94"/>
    <w:rsid w:val="00184FB9"/>
    <w:rsid w:val="001852F8"/>
    <w:rsid w:val="00185342"/>
    <w:rsid w:val="00185879"/>
    <w:rsid w:val="001901AA"/>
    <w:rsid w:val="00190422"/>
    <w:rsid w:val="00190FBF"/>
    <w:rsid w:val="001934C1"/>
    <w:rsid w:val="00193BC6"/>
    <w:rsid w:val="001949EB"/>
    <w:rsid w:val="001961B5"/>
    <w:rsid w:val="001966CB"/>
    <w:rsid w:val="00196B83"/>
    <w:rsid w:val="001A0F92"/>
    <w:rsid w:val="001A13C8"/>
    <w:rsid w:val="001A1D62"/>
    <w:rsid w:val="001A3A04"/>
    <w:rsid w:val="001A3BE1"/>
    <w:rsid w:val="001A4AFE"/>
    <w:rsid w:val="001A4C27"/>
    <w:rsid w:val="001A5A99"/>
    <w:rsid w:val="001A7C72"/>
    <w:rsid w:val="001B0062"/>
    <w:rsid w:val="001B1593"/>
    <w:rsid w:val="001B16AB"/>
    <w:rsid w:val="001B1BEB"/>
    <w:rsid w:val="001B1D40"/>
    <w:rsid w:val="001B1DBF"/>
    <w:rsid w:val="001B250F"/>
    <w:rsid w:val="001B3F75"/>
    <w:rsid w:val="001B497B"/>
    <w:rsid w:val="001B55FE"/>
    <w:rsid w:val="001B65CD"/>
    <w:rsid w:val="001B6735"/>
    <w:rsid w:val="001B722F"/>
    <w:rsid w:val="001B741A"/>
    <w:rsid w:val="001C06A9"/>
    <w:rsid w:val="001C128C"/>
    <w:rsid w:val="001C1451"/>
    <w:rsid w:val="001C14E2"/>
    <w:rsid w:val="001C1B89"/>
    <w:rsid w:val="001C248E"/>
    <w:rsid w:val="001C46C1"/>
    <w:rsid w:val="001C4D38"/>
    <w:rsid w:val="001C6D99"/>
    <w:rsid w:val="001D0CBE"/>
    <w:rsid w:val="001D17C8"/>
    <w:rsid w:val="001D2A98"/>
    <w:rsid w:val="001D376C"/>
    <w:rsid w:val="001D4C53"/>
    <w:rsid w:val="001E08A6"/>
    <w:rsid w:val="001E3977"/>
    <w:rsid w:val="001E5A7C"/>
    <w:rsid w:val="001E7541"/>
    <w:rsid w:val="001E7DAF"/>
    <w:rsid w:val="001F103F"/>
    <w:rsid w:val="001F1DA0"/>
    <w:rsid w:val="001F20CD"/>
    <w:rsid w:val="001F2B09"/>
    <w:rsid w:val="001F3595"/>
    <w:rsid w:val="001F45BC"/>
    <w:rsid w:val="001F6EF5"/>
    <w:rsid w:val="001F6F36"/>
    <w:rsid w:val="001F7541"/>
    <w:rsid w:val="001F7C11"/>
    <w:rsid w:val="00200BFC"/>
    <w:rsid w:val="002016F6"/>
    <w:rsid w:val="002032B1"/>
    <w:rsid w:val="00204AED"/>
    <w:rsid w:val="00205202"/>
    <w:rsid w:val="00206250"/>
    <w:rsid w:val="002067A0"/>
    <w:rsid w:val="00210FC3"/>
    <w:rsid w:val="00211F03"/>
    <w:rsid w:val="002136AE"/>
    <w:rsid w:val="00213C94"/>
    <w:rsid w:val="00214344"/>
    <w:rsid w:val="00214B9F"/>
    <w:rsid w:val="00214F55"/>
    <w:rsid w:val="00215C13"/>
    <w:rsid w:val="0021759C"/>
    <w:rsid w:val="002175EA"/>
    <w:rsid w:val="002205CD"/>
    <w:rsid w:val="002207EE"/>
    <w:rsid w:val="002230FE"/>
    <w:rsid w:val="002242DA"/>
    <w:rsid w:val="002244BC"/>
    <w:rsid w:val="00224675"/>
    <w:rsid w:val="00224CAA"/>
    <w:rsid w:val="0022635A"/>
    <w:rsid w:val="00226456"/>
    <w:rsid w:val="00226BA5"/>
    <w:rsid w:val="00227044"/>
    <w:rsid w:val="00227A12"/>
    <w:rsid w:val="00230845"/>
    <w:rsid w:val="002308A4"/>
    <w:rsid w:val="00230C2B"/>
    <w:rsid w:val="00230EA8"/>
    <w:rsid w:val="00231029"/>
    <w:rsid w:val="00231E3E"/>
    <w:rsid w:val="00232181"/>
    <w:rsid w:val="00232ADF"/>
    <w:rsid w:val="00232EAB"/>
    <w:rsid w:val="0023338C"/>
    <w:rsid w:val="002338A1"/>
    <w:rsid w:val="00234453"/>
    <w:rsid w:val="002347B3"/>
    <w:rsid w:val="0023504E"/>
    <w:rsid w:val="00237B38"/>
    <w:rsid w:val="0024009C"/>
    <w:rsid w:val="00240373"/>
    <w:rsid w:val="00240707"/>
    <w:rsid w:val="0024099A"/>
    <w:rsid w:val="002410B1"/>
    <w:rsid w:val="00241EC8"/>
    <w:rsid w:val="00241EEF"/>
    <w:rsid w:val="00241FBF"/>
    <w:rsid w:val="00243997"/>
    <w:rsid w:val="00243B15"/>
    <w:rsid w:val="00243C4D"/>
    <w:rsid w:val="00243FCA"/>
    <w:rsid w:val="002444B4"/>
    <w:rsid w:val="0024599A"/>
    <w:rsid w:val="00246529"/>
    <w:rsid w:val="002500D8"/>
    <w:rsid w:val="00250106"/>
    <w:rsid w:val="00250910"/>
    <w:rsid w:val="0025233F"/>
    <w:rsid w:val="002537BC"/>
    <w:rsid w:val="002538D3"/>
    <w:rsid w:val="0025396F"/>
    <w:rsid w:val="00253A34"/>
    <w:rsid w:val="002542E0"/>
    <w:rsid w:val="00254ABB"/>
    <w:rsid w:val="0025502D"/>
    <w:rsid w:val="00255EA3"/>
    <w:rsid w:val="00262566"/>
    <w:rsid w:val="0026309A"/>
    <w:rsid w:val="002638F5"/>
    <w:rsid w:val="00264C76"/>
    <w:rsid w:val="0026648B"/>
    <w:rsid w:val="002667D7"/>
    <w:rsid w:val="00267E2C"/>
    <w:rsid w:val="00270256"/>
    <w:rsid w:val="00270784"/>
    <w:rsid w:val="00271468"/>
    <w:rsid w:val="00271497"/>
    <w:rsid w:val="002718B4"/>
    <w:rsid w:val="002721C3"/>
    <w:rsid w:val="00273533"/>
    <w:rsid w:val="00273C8A"/>
    <w:rsid w:val="002742BA"/>
    <w:rsid w:val="002745F3"/>
    <w:rsid w:val="00274BCC"/>
    <w:rsid w:val="00276A4F"/>
    <w:rsid w:val="002774C0"/>
    <w:rsid w:val="002816DD"/>
    <w:rsid w:val="0028193C"/>
    <w:rsid w:val="002827E4"/>
    <w:rsid w:val="002836E6"/>
    <w:rsid w:val="00283870"/>
    <w:rsid w:val="00284844"/>
    <w:rsid w:val="00287BF1"/>
    <w:rsid w:val="00287FD9"/>
    <w:rsid w:val="002907C9"/>
    <w:rsid w:val="00291E4D"/>
    <w:rsid w:val="00292A10"/>
    <w:rsid w:val="0029355F"/>
    <w:rsid w:val="002939F2"/>
    <w:rsid w:val="00293D63"/>
    <w:rsid w:val="00294665"/>
    <w:rsid w:val="0029499C"/>
    <w:rsid w:val="00294FFD"/>
    <w:rsid w:val="002956A1"/>
    <w:rsid w:val="002957B6"/>
    <w:rsid w:val="00295D56"/>
    <w:rsid w:val="002979BA"/>
    <w:rsid w:val="002A03CA"/>
    <w:rsid w:val="002A079C"/>
    <w:rsid w:val="002A1018"/>
    <w:rsid w:val="002A192A"/>
    <w:rsid w:val="002A1D18"/>
    <w:rsid w:val="002A1F05"/>
    <w:rsid w:val="002A2115"/>
    <w:rsid w:val="002A2118"/>
    <w:rsid w:val="002A3395"/>
    <w:rsid w:val="002A433C"/>
    <w:rsid w:val="002A59F4"/>
    <w:rsid w:val="002A5EFD"/>
    <w:rsid w:val="002A6738"/>
    <w:rsid w:val="002A75A7"/>
    <w:rsid w:val="002B087B"/>
    <w:rsid w:val="002B13B8"/>
    <w:rsid w:val="002B1552"/>
    <w:rsid w:val="002B1A0C"/>
    <w:rsid w:val="002B2AEB"/>
    <w:rsid w:val="002B307C"/>
    <w:rsid w:val="002B448F"/>
    <w:rsid w:val="002B53F9"/>
    <w:rsid w:val="002B595F"/>
    <w:rsid w:val="002B59C1"/>
    <w:rsid w:val="002B5AA4"/>
    <w:rsid w:val="002B7AC4"/>
    <w:rsid w:val="002B7AE5"/>
    <w:rsid w:val="002B7DB4"/>
    <w:rsid w:val="002C123E"/>
    <w:rsid w:val="002C1430"/>
    <w:rsid w:val="002C1580"/>
    <w:rsid w:val="002C1FA3"/>
    <w:rsid w:val="002C21EE"/>
    <w:rsid w:val="002C235B"/>
    <w:rsid w:val="002C32CC"/>
    <w:rsid w:val="002C375E"/>
    <w:rsid w:val="002C4075"/>
    <w:rsid w:val="002C4AD8"/>
    <w:rsid w:val="002C52D9"/>
    <w:rsid w:val="002C71C0"/>
    <w:rsid w:val="002C77FE"/>
    <w:rsid w:val="002D00F4"/>
    <w:rsid w:val="002D033F"/>
    <w:rsid w:val="002D14AD"/>
    <w:rsid w:val="002D1F14"/>
    <w:rsid w:val="002D1F52"/>
    <w:rsid w:val="002D2CB5"/>
    <w:rsid w:val="002D38BC"/>
    <w:rsid w:val="002D3B48"/>
    <w:rsid w:val="002D44F0"/>
    <w:rsid w:val="002D454A"/>
    <w:rsid w:val="002D4CE6"/>
    <w:rsid w:val="002D56E6"/>
    <w:rsid w:val="002D699E"/>
    <w:rsid w:val="002D755F"/>
    <w:rsid w:val="002D7EAD"/>
    <w:rsid w:val="002E0922"/>
    <w:rsid w:val="002E0B0B"/>
    <w:rsid w:val="002E0F07"/>
    <w:rsid w:val="002E24EF"/>
    <w:rsid w:val="002E30A8"/>
    <w:rsid w:val="002E4BC8"/>
    <w:rsid w:val="002E4F45"/>
    <w:rsid w:val="002E77D9"/>
    <w:rsid w:val="002E78C1"/>
    <w:rsid w:val="002F0A82"/>
    <w:rsid w:val="002F1780"/>
    <w:rsid w:val="002F1C41"/>
    <w:rsid w:val="002F2103"/>
    <w:rsid w:val="002F2A03"/>
    <w:rsid w:val="002F2FAE"/>
    <w:rsid w:val="002F3600"/>
    <w:rsid w:val="002F4770"/>
    <w:rsid w:val="002F58E1"/>
    <w:rsid w:val="002F5B06"/>
    <w:rsid w:val="002F7510"/>
    <w:rsid w:val="002F7F6F"/>
    <w:rsid w:val="0030017F"/>
    <w:rsid w:val="003001ED"/>
    <w:rsid w:val="00300231"/>
    <w:rsid w:val="00300872"/>
    <w:rsid w:val="00300A60"/>
    <w:rsid w:val="0030198B"/>
    <w:rsid w:val="00302277"/>
    <w:rsid w:val="003025A9"/>
    <w:rsid w:val="00302613"/>
    <w:rsid w:val="003029D0"/>
    <w:rsid w:val="00303598"/>
    <w:rsid w:val="00303875"/>
    <w:rsid w:val="003046CB"/>
    <w:rsid w:val="00304CFD"/>
    <w:rsid w:val="00305A8B"/>
    <w:rsid w:val="00305F7E"/>
    <w:rsid w:val="003062E7"/>
    <w:rsid w:val="003069D8"/>
    <w:rsid w:val="00306CA6"/>
    <w:rsid w:val="00306CE7"/>
    <w:rsid w:val="0030767F"/>
    <w:rsid w:val="00310221"/>
    <w:rsid w:val="0031043E"/>
    <w:rsid w:val="00310F23"/>
    <w:rsid w:val="0031134E"/>
    <w:rsid w:val="00311F6E"/>
    <w:rsid w:val="00312056"/>
    <w:rsid w:val="003122C6"/>
    <w:rsid w:val="003124F3"/>
    <w:rsid w:val="00312B0E"/>
    <w:rsid w:val="00313033"/>
    <w:rsid w:val="003146D4"/>
    <w:rsid w:val="00314D37"/>
    <w:rsid w:val="00315541"/>
    <w:rsid w:val="00315E71"/>
    <w:rsid w:val="00316450"/>
    <w:rsid w:val="003177B1"/>
    <w:rsid w:val="00320213"/>
    <w:rsid w:val="003207DF"/>
    <w:rsid w:val="00321151"/>
    <w:rsid w:val="00322881"/>
    <w:rsid w:val="00322E7E"/>
    <w:rsid w:val="00323C74"/>
    <w:rsid w:val="00324A04"/>
    <w:rsid w:val="00324CD0"/>
    <w:rsid w:val="0032547F"/>
    <w:rsid w:val="00325EF1"/>
    <w:rsid w:val="003264A6"/>
    <w:rsid w:val="003265EF"/>
    <w:rsid w:val="00326A03"/>
    <w:rsid w:val="00327F2F"/>
    <w:rsid w:val="003301C2"/>
    <w:rsid w:val="003307D3"/>
    <w:rsid w:val="00331860"/>
    <w:rsid w:val="00332156"/>
    <w:rsid w:val="0033224C"/>
    <w:rsid w:val="00334003"/>
    <w:rsid w:val="00334569"/>
    <w:rsid w:val="00335CA6"/>
    <w:rsid w:val="00337160"/>
    <w:rsid w:val="003410DB"/>
    <w:rsid w:val="003424FE"/>
    <w:rsid w:val="003430CA"/>
    <w:rsid w:val="003444C5"/>
    <w:rsid w:val="00344A5B"/>
    <w:rsid w:val="00344CC4"/>
    <w:rsid w:val="003451C8"/>
    <w:rsid w:val="0034702D"/>
    <w:rsid w:val="003503A1"/>
    <w:rsid w:val="0035075D"/>
    <w:rsid w:val="00350E18"/>
    <w:rsid w:val="003512FE"/>
    <w:rsid w:val="00351A86"/>
    <w:rsid w:val="003523DD"/>
    <w:rsid w:val="003529E9"/>
    <w:rsid w:val="00352D89"/>
    <w:rsid w:val="003534BE"/>
    <w:rsid w:val="00353EF9"/>
    <w:rsid w:val="00354606"/>
    <w:rsid w:val="00355BEF"/>
    <w:rsid w:val="00356A9E"/>
    <w:rsid w:val="00356C2D"/>
    <w:rsid w:val="00357214"/>
    <w:rsid w:val="0035792A"/>
    <w:rsid w:val="00357AC8"/>
    <w:rsid w:val="003607D1"/>
    <w:rsid w:val="0036260C"/>
    <w:rsid w:val="00362CEF"/>
    <w:rsid w:val="0036302B"/>
    <w:rsid w:val="00363123"/>
    <w:rsid w:val="00363D29"/>
    <w:rsid w:val="00365771"/>
    <w:rsid w:val="00365A97"/>
    <w:rsid w:val="0036623A"/>
    <w:rsid w:val="00366895"/>
    <w:rsid w:val="00366F1D"/>
    <w:rsid w:val="00370B2D"/>
    <w:rsid w:val="0037101E"/>
    <w:rsid w:val="003711BF"/>
    <w:rsid w:val="00371EAE"/>
    <w:rsid w:val="00372427"/>
    <w:rsid w:val="003728E1"/>
    <w:rsid w:val="00374AC4"/>
    <w:rsid w:val="00375E6C"/>
    <w:rsid w:val="00376264"/>
    <w:rsid w:val="00377275"/>
    <w:rsid w:val="003772E6"/>
    <w:rsid w:val="0038004E"/>
    <w:rsid w:val="00380E68"/>
    <w:rsid w:val="00381629"/>
    <w:rsid w:val="00382210"/>
    <w:rsid w:val="00382240"/>
    <w:rsid w:val="00382936"/>
    <w:rsid w:val="00383F4D"/>
    <w:rsid w:val="0038406E"/>
    <w:rsid w:val="003841CF"/>
    <w:rsid w:val="003843BB"/>
    <w:rsid w:val="0038541D"/>
    <w:rsid w:val="00387055"/>
    <w:rsid w:val="0039021E"/>
    <w:rsid w:val="003911B4"/>
    <w:rsid w:val="003917B8"/>
    <w:rsid w:val="00391AEC"/>
    <w:rsid w:val="00391CA8"/>
    <w:rsid w:val="00391F6A"/>
    <w:rsid w:val="003926C0"/>
    <w:rsid w:val="00393612"/>
    <w:rsid w:val="00393803"/>
    <w:rsid w:val="00394603"/>
    <w:rsid w:val="00395D20"/>
    <w:rsid w:val="00395D2F"/>
    <w:rsid w:val="003961BD"/>
    <w:rsid w:val="0039626C"/>
    <w:rsid w:val="003976DC"/>
    <w:rsid w:val="00397E35"/>
    <w:rsid w:val="003A2235"/>
    <w:rsid w:val="003A28CB"/>
    <w:rsid w:val="003A77F5"/>
    <w:rsid w:val="003B071B"/>
    <w:rsid w:val="003B1548"/>
    <w:rsid w:val="003B2396"/>
    <w:rsid w:val="003B25D6"/>
    <w:rsid w:val="003B296B"/>
    <w:rsid w:val="003B2C62"/>
    <w:rsid w:val="003B345B"/>
    <w:rsid w:val="003B39A7"/>
    <w:rsid w:val="003B3AEB"/>
    <w:rsid w:val="003B460D"/>
    <w:rsid w:val="003B481C"/>
    <w:rsid w:val="003B4ADC"/>
    <w:rsid w:val="003B5B83"/>
    <w:rsid w:val="003B5E64"/>
    <w:rsid w:val="003B686A"/>
    <w:rsid w:val="003B71CA"/>
    <w:rsid w:val="003B77D8"/>
    <w:rsid w:val="003B7CE4"/>
    <w:rsid w:val="003B7E3F"/>
    <w:rsid w:val="003C0418"/>
    <w:rsid w:val="003C0B60"/>
    <w:rsid w:val="003C0B6C"/>
    <w:rsid w:val="003C1896"/>
    <w:rsid w:val="003C1F60"/>
    <w:rsid w:val="003C4C69"/>
    <w:rsid w:val="003C552E"/>
    <w:rsid w:val="003C5FAB"/>
    <w:rsid w:val="003C6CDE"/>
    <w:rsid w:val="003C7B40"/>
    <w:rsid w:val="003D03CB"/>
    <w:rsid w:val="003D09C9"/>
    <w:rsid w:val="003D0C43"/>
    <w:rsid w:val="003D234F"/>
    <w:rsid w:val="003D2472"/>
    <w:rsid w:val="003D3A58"/>
    <w:rsid w:val="003D58B6"/>
    <w:rsid w:val="003D5A23"/>
    <w:rsid w:val="003D5EBD"/>
    <w:rsid w:val="003D6293"/>
    <w:rsid w:val="003E0479"/>
    <w:rsid w:val="003E0E33"/>
    <w:rsid w:val="003E264B"/>
    <w:rsid w:val="003E46C1"/>
    <w:rsid w:val="003E4C2D"/>
    <w:rsid w:val="003E4C37"/>
    <w:rsid w:val="003E4D0E"/>
    <w:rsid w:val="003E5765"/>
    <w:rsid w:val="003E67BB"/>
    <w:rsid w:val="003E6916"/>
    <w:rsid w:val="003E6F47"/>
    <w:rsid w:val="003E71E5"/>
    <w:rsid w:val="003E72A6"/>
    <w:rsid w:val="003E7976"/>
    <w:rsid w:val="003F07B9"/>
    <w:rsid w:val="003F107D"/>
    <w:rsid w:val="003F2D31"/>
    <w:rsid w:val="003F34F0"/>
    <w:rsid w:val="003F3FCA"/>
    <w:rsid w:val="003F44F4"/>
    <w:rsid w:val="003F52A7"/>
    <w:rsid w:val="003F52E4"/>
    <w:rsid w:val="003F543E"/>
    <w:rsid w:val="003F5D98"/>
    <w:rsid w:val="003F6428"/>
    <w:rsid w:val="003F70A3"/>
    <w:rsid w:val="003F710F"/>
    <w:rsid w:val="003F7A40"/>
    <w:rsid w:val="003F7B0B"/>
    <w:rsid w:val="003F7F64"/>
    <w:rsid w:val="00400B0A"/>
    <w:rsid w:val="00401363"/>
    <w:rsid w:val="00401F26"/>
    <w:rsid w:val="004020CB"/>
    <w:rsid w:val="00402EF4"/>
    <w:rsid w:val="00403446"/>
    <w:rsid w:val="00403DB2"/>
    <w:rsid w:val="0040429B"/>
    <w:rsid w:val="00404377"/>
    <w:rsid w:val="00405B18"/>
    <w:rsid w:val="004060B7"/>
    <w:rsid w:val="004064D7"/>
    <w:rsid w:val="00407297"/>
    <w:rsid w:val="00411414"/>
    <w:rsid w:val="00411F71"/>
    <w:rsid w:val="00412500"/>
    <w:rsid w:val="00415CA4"/>
    <w:rsid w:val="00415D94"/>
    <w:rsid w:val="00417410"/>
    <w:rsid w:val="00420CC6"/>
    <w:rsid w:val="004225BF"/>
    <w:rsid w:val="00422A1E"/>
    <w:rsid w:val="00422CDC"/>
    <w:rsid w:val="00422E50"/>
    <w:rsid w:val="004248E2"/>
    <w:rsid w:val="004255D6"/>
    <w:rsid w:val="004256CC"/>
    <w:rsid w:val="00426618"/>
    <w:rsid w:val="00426996"/>
    <w:rsid w:val="00426C5A"/>
    <w:rsid w:val="00426FC9"/>
    <w:rsid w:val="00427E6C"/>
    <w:rsid w:val="0043040A"/>
    <w:rsid w:val="0043053B"/>
    <w:rsid w:val="004306FD"/>
    <w:rsid w:val="00430704"/>
    <w:rsid w:val="0043077C"/>
    <w:rsid w:val="00430C0F"/>
    <w:rsid w:val="00430E6F"/>
    <w:rsid w:val="00431A68"/>
    <w:rsid w:val="00435A0A"/>
    <w:rsid w:val="00443118"/>
    <w:rsid w:val="0044367F"/>
    <w:rsid w:val="0044461A"/>
    <w:rsid w:val="00445EA0"/>
    <w:rsid w:val="004467D5"/>
    <w:rsid w:val="004470CB"/>
    <w:rsid w:val="00447E3D"/>
    <w:rsid w:val="00450920"/>
    <w:rsid w:val="00450B68"/>
    <w:rsid w:val="00450C85"/>
    <w:rsid w:val="00451940"/>
    <w:rsid w:val="00451B60"/>
    <w:rsid w:val="004526DF"/>
    <w:rsid w:val="00452AA8"/>
    <w:rsid w:val="00452DE5"/>
    <w:rsid w:val="00453204"/>
    <w:rsid w:val="00454693"/>
    <w:rsid w:val="00455602"/>
    <w:rsid w:val="00456433"/>
    <w:rsid w:val="00456578"/>
    <w:rsid w:val="00460742"/>
    <w:rsid w:val="00460F22"/>
    <w:rsid w:val="004614D5"/>
    <w:rsid w:val="0046262F"/>
    <w:rsid w:val="00462814"/>
    <w:rsid w:val="00464155"/>
    <w:rsid w:val="0046556E"/>
    <w:rsid w:val="00465F84"/>
    <w:rsid w:val="00466B3A"/>
    <w:rsid w:val="00466E3F"/>
    <w:rsid w:val="004674C8"/>
    <w:rsid w:val="004677D7"/>
    <w:rsid w:val="00470EDC"/>
    <w:rsid w:val="004721F3"/>
    <w:rsid w:val="00472497"/>
    <w:rsid w:val="00472CC2"/>
    <w:rsid w:val="00473CAF"/>
    <w:rsid w:val="00473F5C"/>
    <w:rsid w:val="00474537"/>
    <w:rsid w:val="0047483D"/>
    <w:rsid w:val="00474966"/>
    <w:rsid w:val="004768C9"/>
    <w:rsid w:val="0048030F"/>
    <w:rsid w:val="0048077B"/>
    <w:rsid w:val="004810E9"/>
    <w:rsid w:val="004811F6"/>
    <w:rsid w:val="004813C3"/>
    <w:rsid w:val="00482119"/>
    <w:rsid w:val="0048212D"/>
    <w:rsid w:val="004841F0"/>
    <w:rsid w:val="004849A6"/>
    <w:rsid w:val="00484AA2"/>
    <w:rsid w:val="00484B52"/>
    <w:rsid w:val="00484C90"/>
    <w:rsid w:val="00485E8D"/>
    <w:rsid w:val="0048680C"/>
    <w:rsid w:val="00486B0D"/>
    <w:rsid w:val="0048724F"/>
    <w:rsid w:val="004877A5"/>
    <w:rsid w:val="004913B2"/>
    <w:rsid w:val="00491AC7"/>
    <w:rsid w:val="00492359"/>
    <w:rsid w:val="00492A2F"/>
    <w:rsid w:val="00493393"/>
    <w:rsid w:val="00493C27"/>
    <w:rsid w:val="00494BC6"/>
    <w:rsid w:val="0049623C"/>
    <w:rsid w:val="00496F78"/>
    <w:rsid w:val="00497135"/>
    <w:rsid w:val="0049734E"/>
    <w:rsid w:val="004976C1"/>
    <w:rsid w:val="00497730"/>
    <w:rsid w:val="00497D25"/>
    <w:rsid w:val="004A0492"/>
    <w:rsid w:val="004A0CC7"/>
    <w:rsid w:val="004A0D3E"/>
    <w:rsid w:val="004A1A76"/>
    <w:rsid w:val="004A2054"/>
    <w:rsid w:val="004A3042"/>
    <w:rsid w:val="004A329E"/>
    <w:rsid w:val="004A39F7"/>
    <w:rsid w:val="004A67E3"/>
    <w:rsid w:val="004A7437"/>
    <w:rsid w:val="004A7595"/>
    <w:rsid w:val="004A791D"/>
    <w:rsid w:val="004B057F"/>
    <w:rsid w:val="004B0CB8"/>
    <w:rsid w:val="004B0D27"/>
    <w:rsid w:val="004B0E3E"/>
    <w:rsid w:val="004B109F"/>
    <w:rsid w:val="004B1C80"/>
    <w:rsid w:val="004B1C86"/>
    <w:rsid w:val="004B2CDC"/>
    <w:rsid w:val="004B2FB3"/>
    <w:rsid w:val="004B41D1"/>
    <w:rsid w:val="004B505A"/>
    <w:rsid w:val="004B50B4"/>
    <w:rsid w:val="004B52FF"/>
    <w:rsid w:val="004B5374"/>
    <w:rsid w:val="004B603D"/>
    <w:rsid w:val="004B7A36"/>
    <w:rsid w:val="004B7D9F"/>
    <w:rsid w:val="004C08AC"/>
    <w:rsid w:val="004C10AA"/>
    <w:rsid w:val="004C1B99"/>
    <w:rsid w:val="004C1E82"/>
    <w:rsid w:val="004C23D9"/>
    <w:rsid w:val="004C26A2"/>
    <w:rsid w:val="004C2B23"/>
    <w:rsid w:val="004C3AB8"/>
    <w:rsid w:val="004C5507"/>
    <w:rsid w:val="004C5993"/>
    <w:rsid w:val="004C5A44"/>
    <w:rsid w:val="004C5B85"/>
    <w:rsid w:val="004C5F74"/>
    <w:rsid w:val="004C6734"/>
    <w:rsid w:val="004C69C4"/>
    <w:rsid w:val="004C6B0C"/>
    <w:rsid w:val="004C7944"/>
    <w:rsid w:val="004C7D11"/>
    <w:rsid w:val="004D0806"/>
    <w:rsid w:val="004D0F27"/>
    <w:rsid w:val="004D2191"/>
    <w:rsid w:val="004D4BA5"/>
    <w:rsid w:val="004D58B9"/>
    <w:rsid w:val="004D7309"/>
    <w:rsid w:val="004D7327"/>
    <w:rsid w:val="004D797F"/>
    <w:rsid w:val="004E1359"/>
    <w:rsid w:val="004E1508"/>
    <w:rsid w:val="004E1D0F"/>
    <w:rsid w:val="004E2E2C"/>
    <w:rsid w:val="004E311E"/>
    <w:rsid w:val="004E31C8"/>
    <w:rsid w:val="004E4064"/>
    <w:rsid w:val="004E4854"/>
    <w:rsid w:val="004E48D1"/>
    <w:rsid w:val="004E4F0D"/>
    <w:rsid w:val="004E5125"/>
    <w:rsid w:val="004E5457"/>
    <w:rsid w:val="004E69C0"/>
    <w:rsid w:val="004E787F"/>
    <w:rsid w:val="004E7E9C"/>
    <w:rsid w:val="004F089C"/>
    <w:rsid w:val="004F2620"/>
    <w:rsid w:val="004F282E"/>
    <w:rsid w:val="004F2DF9"/>
    <w:rsid w:val="004F3403"/>
    <w:rsid w:val="004F3818"/>
    <w:rsid w:val="004F3A1F"/>
    <w:rsid w:val="004F406E"/>
    <w:rsid w:val="004F5E59"/>
    <w:rsid w:val="004F714B"/>
    <w:rsid w:val="004F71A7"/>
    <w:rsid w:val="004F774A"/>
    <w:rsid w:val="005001C9"/>
    <w:rsid w:val="0050033C"/>
    <w:rsid w:val="00500408"/>
    <w:rsid w:val="00501C62"/>
    <w:rsid w:val="005022CD"/>
    <w:rsid w:val="00502696"/>
    <w:rsid w:val="005031F0"/>
    <w:rsid w:val="00503999"/>
    <w:rsid w:val="005039C4"/>
    <w:rsid w:val="00503CFC"/>
    <w:rsid w:val="00504091"/>
    <w:rsid w:val="005041A4"/>
    <w:rsid w:val="00504798"/>
    <w:rsid w:val="00506492"/>
    <w:rsid w:val="00506D86"/>
    <w:rsid w:val="0050716E"/>
    <w:rsid w:val="005102E3"/>
    <w:rsid w:val="00510789"/>
    <w:rsid w:val="00511260"/>
    <w:rsid w:val="0051284A"/>
    <w:rsid w:val="00513190"/>
    <w:rsid w:val="00513CE9"/>
    <w:rsid w:val="00514CAB"/>
    <w:rsid w:val="005171AA"/>
    <w:rsid w:val="00517ACF"/>
    <w:rsid w:val="00520F8C"/>
    <w:rsid w:val="00521083"/>
    <w:rsid w:val="005216C1"/>
    <w:rsid w:val="00521BAC"/>
    <w:rsid w:val="00522FF0"/>
    <w:rsid w:val="00523020"/>
    <w:rsid w:val="00523880"/>
    <w:rsid w:val="005245E7"/>
    <w:rsid w:val="005252D2"/>
    <w:rsid w:val="00526156"/>
    <w:rsid w:val="00526322"/>
    <w:rsid w:val="0052673B"/>
    <w:rsid w:val="00526A3D"/>
    <w:rsid w:val="00526A95"/>
    <w:rsid w:val="00526BA7"/>
    <w:rsid w:val="0053045F"/>
    <w:rsid w:val="00531877"/>
    <w:rsid w:val="005328F6"/>
    <w:rsid w:val="00532EF8"/>
    <w:rsid w:val="00533069"/>
    <w:rsid w:val="005337C9"/>
    <w:rsid w:val="00536EB0"/>
    <w:rsid w:val="00540337"/>
    <w:rsid w:val="00540457"/>
    <w:rsid w:val="005405F7"/>
    <w:rsid w:val="005407EB"/>
    <w:rsid w:val="0054084F"/>
    <w:rsid w:val="00540A11"/>
    <w:rsid w:val="005415AD"/>
    <w:rsid w:val="0054163F"/>
    <w:rsid w:val="00541702"/>
    <w:rsid w:val="005418C6"/>
    <w:rsid w:val="005427CF"/>
    <w:rsid w:val="00542B21"/>
    <w:rsid w:val="00542C31"/>
    <w:rsid w:val="00542DE2"/>
    <w:rsid w:val="00542F23"/>
    <w:rsid w:val="0054366F"/>
    <w:rsid w:val="00543FB2"/>
    <w:rsid w:val="00544FD5"/>
    <w:rsid w:val="00545CA0"/>
    <w:rsid w:val="005467D8"/>
    <w:rsid w:val="005474FE"/>
    <w:rsid w:val="00547C36"/>
    <w:rsid w:val="00547CB9"/>
    <w:rsid w:val="00547E85"/>
    <w:rsid w:val="00550A1F"/>
    <w:rsid w:val="00550B1F"/>
    <w:rsid w:val="00551373"/>
    <w:rsid w:val="00551A63"/>
    <w:rsid w:val="00552705"/>
    <w:rsid w:val="00552C37"/>
    <w:rsid w:val="005543A2"/>
    <w:rsid w:val="00554E42"/>
    <w:rsid w:val="00554FC5"/>
    <w:rsid w:val="00555607"/>
    <w:rsid w:val="00555CDF"/>
    <w:rsid w:val="00556623"/>
    <w:rsid w:val="005574CC"/>
    <w:rsid w:val="0055752C"/>
    <w:rsid w:val="0056052D"/>
    <w:rsid w:val="00560678"/>
    <w:rsid w:val="00562D48"/>
    <w:rsid w:val="00562FE4"/>
    <w:rsid w:val="0056345C"/>
    <w:rsid w:val="00563CEA"/>
    <w:rsid w:val="00564393"/>
    <w:rsid w:val="0056531C"/>
    <w:rsid w:val="00566F3C"/>
    <w:rsid w:val="005670EC"/>
    <w:rsid w:val="00567EE0"/>
    <w:rsid w:val="00571652"/>
    <w:rsid w:val="005717F2"/>
    <w:rsid w:val="00571BB8"/>
    <w:rsid w:val="00572AAD"/>
    <w:rsid w:val="00572BF0"/>
    <w:rsid w:val="0057351F"/>
    <w:rsid w:val="00574B1D"/>
    <w:rsid w:val="00575A77"/>
    <w:rsid w:val="00576724"/>
    <w:rsid w:val="00576BC7"/>
    <w:rsid w:val="00577C29"/>
    <w:rsid w:val="00580A27"/>
    <w:rsid w:val="00580F54"/>
    <w:rsid w:val="00581341"/>
    <w:rsid w:val="005827A3"/>
    <w:rsid w:val="00583EC4"/>
    <w:rsid w:val="00583F82"/>
    <w:rsid w:val="00584B9D"/>
    <w:rsid w:val="00584BA9"/>
    <w:rsid w:val="005863B8"/>
    <w:rsid w:val="005863C6"/>
    <w:rsid w:val="0058668E"/>
    <w:rsid w:val="005878B4"/>
    <w:rsid w:val="0059041F"/>
    <w:rsid w:val="00590714"/>
    <w:rsid w:val="00590B51"/>
    <w:rsid w:val="00591562"/>
    <w:rsid w:val="005925ED"/>
    <w:rsid w:val="00592E77"/>
    <w:rsid w:val="0059325E"/>
    <w:rsid w:val="00593B7D"/>
    <w:rsid w:val="00595335"/>
    <w:rsid w:val="005965FB"/>
    <w:rsid w:val="00597DFE"/>
    <w:rsid w:val="00597F30"/>
    <w:rsid w:val="005A06FD"/>
    <w:rsid w:val="005A0B75"/>
    <w:rsid w:val="005A1C3F"/>
    <w:rsid w:val="005A2215"/>
    <w:rsid w:val="005A3154"/>
    <w:rsid w:val="005A4F51"/>
    <w:rsid w:val="005A6B36"/>
    <w:rsid w:val="005A7265"/>
    <w:rsid w:val="005A79FE"/>
    <w:rsid w:val="005A7E94"/>
    <w:rsid w:val="005A7FA8"/>
    <w:rsid w:val="005B0AA5"/>
    <w:rsid w:val="005B1FDB"/>
    <w:rsid w:val="005B2B10"/>
    <w:rsid w:val="005B2C28"/>
    <w:rsid w:val="005B367F"/>
    <w:rsid w:val="005B39B1"/>
    <w:rsid w:val="005B52A2"/>
    <w:rsid w:val="005B5C05"/>
    <w:rsid w:val="005C03BB"/>
    <w:rsid w:val="005C049F"/>
    <w:rsid w:val="005C0DAA"/>
    <w:rsid w:val="005C12F5"/>
    <w:rsid w:val="005C1E1D"/>
    <w:rsid w:val="005C1E63"/>
    <w:rsid w:val="005C3370"/>
    <w:rsid w:val="005C4F70"/>
    <w:rsid w:val="005C53A8"/>
    <w:rsid w:val="005C6B3B"/>
    <w:rsid w:val="005C75E0"/>
    <w:rsid w:val="005C7CC3"/>
    <w:rsid w:val="005C7E8E"/>
    <w:rsid w:val="005D006D"/>
    <w:rsid w:val="005D05D6"/>
    <w:rsid w:val="005D08F4"/>
    <w:rsid w:val="005D0B3E"/>
    <w:rsid w:val="005D2FC5"/>
    <w:rsid w:val="005D7B03"/>
    <w:rsid w:val="005E02A8"/>
    <w:rsid w:val="005E095D"/>
    <w:rsid w:val="005E0BCB"/>
    <w:rsid w:val="005E105E"/>
    <w:rsid w:val="005E2510"/>
    <w:rsid w:val="005E384E"/>
    <w:rsid w:val="005E46A6"/>
    <w:rsid w:val="005E4EAE"/>
    <w:rsid w:val="005E52DD"/>
    <w:rsid w:val="005E6194"/>
    <w:rsid w:val="005E6335"/>
    <w:rsid w:val="005E6D52"/>
    <w:rsid w:val="005E6DCD"/>
    <w:rsid w:val="005F03C1"/>
    <w:rsid w:val="005F0471"/>
    <w:rsid w:val="005F0481"/>
    <w:rsid w:val="005F0A71"/>
    <w:rsid w:val="005F1FC0"/>
    <w:rsid w:val="005F2618"/>
    <w:rsid w:val="005F459E"/>
    <w:rsid w:val="005F5A94"/>
    <w:rsid w:val="005F675D"/>
    <w:rsid w:val="005F6A7B"/>
    <w:rsid w:val="005F6E8B"/>
    <w:rsid w:val="005F7456"/>
    <w:rsid w:val="005F7CFD"/>
    <w:rsid w:val="006008AD"/>
    <w:rsid w:val="00601BB7"/>
    <w:rsid w:val="00602B34"/>
    <w:rsid w:val="00603B88"/>
    <w:rsid w:val="00603BB2"/>
    <w:rsid w:val="00607BBE"/>
    <w:rsid w:val="0061063D"/>
    <w:rsid w:val="00610F49"/>
    <w:rsid w:val="00611057"/>
    <w:rsid w:val="0061129D"/>
    <w:rsid w:val="00611DE9"/>
    <w:rsid w:val="00612390"/>
    <w:rsid w:val="006124D4"/>
    <w:rsid w:val="00612A41"/>
    <w:rsid w:val="0061351A"/>
    <w:rsid w:val="006150A3"/>
    <w:rsid w:val="00616253"/>
    <w:rsid w:val="0061633E"/>
    <w:rsid w:val="006163FF"/>
    <w:rsid w:val="00616779"/>
    <w:rsid w:val="00616945"/>
    <w:rsid w:val="00616B95"/>
    <w:rsid w:val="00617289"/>
    <w:rsid w:val="006175A1"/>
    <w:rsid w:val="0062177B"/>
    <w:rsid w:val="00621B27"/>
    <w:rsid w:val="006221AA"/>
    <w:rsid w:val="0062274A"/>
    <w:rsid w:val="00622F5D"/>
    <w:rsid w:val="00623C6E"/>
    <w:rsid w:val="00625D69"/>
    <w:rsid w:val="0062661E"/>
    <w:rsid w:val="00626A09"/>
    <w:rsid w:val="0063022A"/>
    <w:rsid w:val="006303D6"/>
    <w:rsid w:val="0063247A"/>
    <w:rsid w:val="0063254E"/>
    <w:rsid w:val="006340A3"/>
    <w:rsid w:val="00634408"/>
    <w:rsid w:val="00634980"/>
    <w:rsid w:val="00634B16"/>
    <w:rsid w:val="00634B9F"/>
    <w:rsid w:val="006353BE"/>
    <w:rsid w:val="006361DF"/>
    <w:rsid w:val="00637156"/>
    <w:rsid w:val="00637245"/>
    <w:rsid w:val="006374B3"/>
    <w:rsid w:val="0063775F"/>
    <w:rsid w:val="00637B79"/>
    <w:rsid w:val="00637B9C"/>
    <w:rsid w:val="006405CD"/>
    <w:rsid w:val="0064123C"/>
    <w:rsid w:val="00642025"/>
    <w:rsid w:val="00643901"/>
    <w:rsid w:val="0064630A"/>
    <w:rsid w:val="0064794A"/>
    <w:rsid w:val="00650A9E"/>
    <w:rsid w:val="00653224"/>
    <w:rsid w:val="00653361"/>
    <w:rsid w:val="006540A0"/>
    <w:rsid w:val="0065434D"/>
    <w:rsid w:val="006572A6"/>
    <w:rsid w:val="006579D9"/>
    <w:rsid w:val="00660046"/>
    <w:rsid w:val="006606A1"/>
    <w:rsid w:val="00662183"/>
    <w:rsid w:val="00662343"/>
    <w:rsid w:val="00663508"/>
    <w:rsid w:val="00663A67"/>
    <w:rsid w:val="00663B2A"/>
    <w:rsid w:val="006643D9"/>
    <w:rsid w:val="0066484E"/>
    <w:rsid w:val="00664CE5"/>
    <w:rsid w:val="00665417"/>
    <w:rsid w:val="006656D1"/>
    <w:rsid w:val="006700A5"/>
    <w:rsid w:val="00672257"/>
    <w:rsid w:val="00672D99"/>
    <w:rsid w:val="00673D9B"/>
    <w:rsid w:val="00674DC0"/>
    <w:rsid w:val="0067526D"/>
    <w:rsid w:val="00675837"/>
    <w:rsid w:val="0067648F"/>
    <w:rsid w:val="00676AA9"/>
    <w:rsid w:val="00677937"/>
    <w:rsid w:val="0068117A"/>
    <w:rsid w:val="00681724"/>
    <w:rsid w:val="0068228A"/>
    <w:rsid w:val="006829A2"/>
    <w:rsid w:val="00682E32"/>
    <w:rsid w:val="006831DB"/>
    <w:rsid w:val="0068343A"/>
    <w:rsid w:val="0068471B"/>
    <w:rsid w:val="00684C63"/>
    <w:rsid w:val="00685306"/>
    <w:rsid w:val="0068564A"/>
    <w:rsid w:val="0068758D"/>
    <w:rsid w:val="00687881"/>
    <w:rsid w:val="0068789F"/>
    <w:rsid w:val="006878F7"/>
    <w:rsid w:val="006911DD"/>
    <w:rsid w:val="006919D0"/>
    <w:rsid w:val="00691E03"/>
    <w:rsid w:val="00692240"/>
    <w:rsid w:val="00693C9F"/>
    <w:rsid w:val="0069492B"/>
    <w:rsid w:val="0069533F"/>
    <w:rsid w:val="0069551E"/>
    <w:rsid w:val="00695551"/>
    <w:rsid w:val="006961D5"/>
    <w:rsid w:val="0069743E"/>
    <w:rsid w:val="00697491"/>
    <w:rsid w:val="006A26E0"/>
    <w:rsid w:val="006A374D"/>
    <w:rsid w:val="006A3E9B"/>
    <w:rsid w:val="006A4A84"/>
    <w:rsid w:val="006A56ED"/>
    <w:rsid w:val="006A5738"/>
    <w:rsid w:val="006A5CB6"/>
    <w:rsid w:val="006A5EBC"/>
    <w:rsid w:val="006A6685"/>
    <w:rsid w:val="006B0FA3"/>
    <w:rsid w:val="006B10D0"/>
    <w:rsid w:val="006B2F3E"/>
    <w:rsid w:val="006B2F62"/>
    <w:rsid w:val="006B3423"/>
    <w:rsid w:val="006B36E6"/>
    <w:rsid w:val="006B3881"/>
    <w:rsid w:val="006B3A2A"/>
    <w:rsid w:val="006B465E"/>
    <w:rsid w:val="006B6A41"/>
    <w:rsid w:val="006B6EDD"/>
    <w:rsid w:val="006C2922"/>
    <w:rsid w:val="006C33E9"/>
    <w:rsid w:val="006C4468"/>
    <w:rsid w:val="006C4A8A"/>
    <w:rsid w:val="006C4AF7"/>
    <w:rsid w:val="006C557F"/>
    <w:rsid w:val="006C5926"/>
    <w:rsid w:val="006C6361"/>
    <w:rsid w:val="006C6F5A"/>
    <w:rsid w:val="006C7B13"/>
    <w:rsid w:val="006C7F26"/>
    <w:rsid w:val="006D0469"/>
    <w:rsid w:val="006D13FC"/>
    <w:rsid w:val="006D1EF9"/>
    <w:rsid w:val="006D2E20"/>
    <w:rsid w:val="006D379F"/>
    <w:rsid w:val="006D4B7E"/>
    <w:rsid w:val="006D559B"/>
    <w:rsid w:val="006D662A"/>
    <w:rsid w:val="006D722F"/>
    <w:rsid w:val="006D7E67"/>
    <w:rsid w:val="006E0048"/>
    <w:rsid w:val="006E04C8"/>
    <w:rsid w:val="006E0E0F"/>
    <w:rsid w:val="006E1FA3"/>
    <w:rsid w:val="006E1FF2"/>
    <w:rsid w:val="006E26B0"/>
    <w:rsid w:val="006E3C5D"/>
    <w:rsid w:val="006E3E12"/>
    <w:rsid w:val="006E4157"/>
    <w:rsid w:val="006E7914"/>
    <w:rsid w:val="006F0CE6"/>
    <w:rsid w:val="006F12EB"/>
    <w:rsid w:val="006F2989"/>
    <w:rsid w:val="006F3F9E"/>
    <w:rsid w:val="006F484D"/>
    <w:rsid w:val="006F4CDB"/>
    <w:rsid w:val="006F4E4B"/>
    <w:rsid w:val="006F5332"/>
    <w:rsid w:val="006F583F"/>
    <w:rsid w:val="006F5C80"/>
    <w:rsid w:val="006F670B"/>
    <w:rsid w:val="0070044B"/>
    <w:rsid w:val="00700C2F"/>
    <w:rsid w:val="00701FB5"/>
    <w:rsid w:val="00703639"/>
    <w:rsid w:val="00704731"/>
    <w:rsid w:val="00704E85"/>
    <w:rsid w:val="00704F8C"/>
    <w:rsid w:val="007068AE"/>
    <w:rsid w:val="00706A42"/>
    <w:rsid w:val="00706AB9"/>
    <w:rsid w:val="007070B2"/>
    <w:rsid w:val="007106EB"/>
    <w:rsid w:val="00710DA1"/>
    <w:rsid w:val="007118EA"/>
    <w:rsid w:val="00711E6B"/>
    <w:rsid w:val="007126BE"/>
    <w:rsid w:val="007126CA"/>
    <w:rsid w:val="00712A31"/>
    <w:rsid w:val="00712E56"/>
    <w:rsid w:val="00715CB8"/>
    <w:rsid w:val="00715D12"/>
    <w:rsid w:val="007164FE"/>
    <w:rsid w:val="007201C8"/>
    <w:rsid w:val="007205F3"/>
    <w:rsid w:val="00720BD3"/>
    <w:rsid w:val="00721B89"/>
    <w:rsid w:val="00722645"/>
    <w:rsid w:val="0072275B"/>
    <w:rsid w:val="00723B3C"/>
    <w:rsid w:val="00723D0F"/>
    <w:rsid w:val="00723D35"/>
    <w:rsid w:val="00726654"/>
    <w:rsid w:val="00727C14"/>
    <w:rsid w:val="00730214"/>
    <w:rsid w:val="007307EB"/>
    <w:rsid w:val="00730E26"/>
    <w:rsid w:val="00731E58"/>
    <w:rsid w:val="0073305C"/>
    <w:rsid w:val="0073387A"/>
    <w:rsid w:val="00734994"/>
    <w:rsid w:val="00735875"/>
    <w:rsid w:val="0073779D"/>
    <w:rsid w:val="00737BA4"/>
    <w:rsid w:val="007401FB"/>
    <w:rsid w:val="00740448"/>
    <w:rsid w:val="007406F8"/>
    <w:rsid w:val="0074075E"/>
    <w:rsid w:val="00740C8E"/>
    <w:rsid w:val="007412CC"/>
    <w:rsid w:val="00741809"/>
    <w:rsid w:val="00742DAB"/>
    <w:rsid w:val="00743C79"/>
    <w:rsid w:val="00744320"/>
    <w:rsid w:val="00744612"/>
    <w:rsid w:val="007449AA"/>
    <w:rsid w:val="00745DE5"/>
    <w:rsid w:val="007468F9"/>
    <w:rsid w:val="00746B65"/>
    <w:rsid w:val="007474C5"/>
    <w:rsid w:val="007508AD"/>
    <w:rsid w:val="00750A89"/>
    <w:rsid w:val="007513E8"/>
    <w:rsid w:val="007518E4"/>
    <w:rsid w:val="0075306C"/>
    <w:rsid w:val="00753521"/>
    <w:rsid w:val="00753943"/>
    <w:rsid w:val="007542DA"/>
    <w:rsid w:val="00755ACE"/>
    <w:rsid w:val="007567B2"/>
    <w:rsid w:val="007567CB"/>
    <w:rsid w:val="00757470"/>
    <w:rsid w:val="00757F7C"/>
    <w:rsid w:val="0076022B"/>
    <w:rsid w:val="00762355"/>
    <w:rsid w:val="0076323E"/>
    <w:rsid w:val="007639EE"/>
    <w:rsid w:val="0076443E"/>
    <w:rsid w:val="0076458B"/>
    <w:rsid w:val="007646D6"/>
    <w:rsid w:val="00764C6B"/>
    <w:rsid w:val="0076550A"/>
    <w:rsid w:val="00765A2C"/>
    <w:rsid w:val="00766003"/>
    <w:rsid w:val="00766A21"/>
    <w:rsid w:val="00767BBA"/>
    <w:rsid w:val="00771167"/>
    <w:rsid w:val="0077320B"/>
    <w:rsid w:val="0077342D"/>
    <w:rsid w:val="00774008"/>
    <w:rsid w:val="0077492A"/>
    <w:rsid w:val="007751C1"/>
    <w:rsid w:val="007757EB"/>
    <w:rsid w:val="00776BDD"/>
    <w:rsid w:val="0077727B"/>
    <w:rsid w:val="00777BA8"/>
    <w:rsid w:val="0078082C"/>
    <w:rsid w:val="00780CED"/>
    <w:rsid w:val="007815DB"/>
    <w:rsid w:val="00783497"/>
    <w:rsid w:val="00783EF7"/>
    <w:rsid w:val="0078528F"/>
    <w:rsid w:val="00785786"/>
    <w:rsid w:val="007863E2"/>
    <w:rsid w:val="00786BD3"/>
    <w:rsid w:val="00790463"/>
    <w:rsid w:val="00790F41"/>
    <w:rsid w:val="0079128A"/>
    <w:rsid w:val="00791B98"/>
    <w:rsid w:val="00792F8F"/>
    <w:rsid w:val="00793C28"/>
    <w:rsid w:val="007943A4"/>
    <w:rsid w:val="00794A1B"/>
    <w:rsid w:val="007955C1"/>
    <w:rsid w:val="00795E4D"/>
    <w:rsid w:val="0079625D"/>
    <w:rsid w:val="007966FF"/>
    <w:rsid w:val="007978C1"/>
    <w:rsid w:val="007A014F"/>
    <w:rsid w:val="007A058E"/>
    <w:rsid w:val="007A29A1"/>
    <w:rsid w:val="007A3E79"/>
    <w:rsid w:val="007A4797"/>
    <w:rsid w:val="007A4825"/>
    <w:rsid w:val="007A4D7D"/>
    <w:rsid w:val="007A4F17"/>
    <w:rsid w:val="007A6489"/>
    <w:rsid w:val="007A705A"/>
    <w:rsid w:val="007A72DD"/>
    <w:rsid w:val="007A75C3"/>
    <w:rsid w:val="007B30E8"/>
    <w:rsid w:val="007B41DC"/>
    <w:rsid w:val="007B569C"/>
    <w:rsid w:val="007B5E5D"/>
    <w:rsid w:val="007B6827"/>
    <w:rsid w:val="007B7D81"/>
    <w:rsid w:val="007B7DAB"/>
    <w:rsid w:val="007C0513"/>
    <w:rsid w:val="007C0B57"/>
    <w:rsid w:val="007C0F5D"/>
    <w:rsid w:val="007C1479"/>
    <w:rsid w:val="007C1C88"/>
    <w:rsid w:val="007C28A0"/>
    <w:rsid w:val="007C28F5"/>
    <w:rsid w:val="007C33F7"/>
    <w:rsid w:val="007C38D8"/>
    <w:rsid w:val="007C443F"/>
    <w:rsid w:val="007C5015"/>
    <w:rsid w:val="007C5320"/>
    <w:rsid w:val="007C563C"/>
    <w:rsid w:val="007C6714"/>
    <w:rsid w:val="007C7146"/>
    <w:rsid w:val="007C7586"/>
    <w:rsid w:val="007D084D"/>
    <w:rsid w:val="007D1991"/>
    <w:rsid w:val="007D2507"/>
    <w:rsid w:val="007D2640"/>
    <w:rsid w:val="007D2FC0"/>
    <w:rsid w:val="007D4A90"/>
    <w:rsid w:val="007D5936"/>
    <w:rsid w:val="007D5952"/>
    <w:rsid w:val="007D5BDD"/>
    <w:rsid w:val="007D5D6D"/>
    <w:rsid w:val="007D6380"/>
    <w:rsid w:val="007D7698"/>
    <w:rsid w:val="007E1505"/>
    <w:rsid w:val="007E26FF"/>
    <w:rsid w:val="007E2E7B"/>
    <w:rsid w:val="007E4D54"/>
    <w:rsid w:val="007E4D65"/>
    <w:rsid w:val="007E4FFF"/>
    <w:rsid w:val="007E50E3"/>
    <w:rsid w:val="007E532F"/>
    <w:rsid w:val="007E5484"/>
    <w:rsid w:val="007E57C0"/>
    <w:rsid w:val="007E6FF7"/>
    <w:rsid w:val="007E7C0F"/>
    <w:rsid w:val="007E7E47"/>
    <w:rsid w:val="007F0D5E"/>
    <w:rsid w:val="007F16C4"/>
    <w:rsid w:val="007F2D46"/>
    <w:rsid w:val="007F41AC"/>
    <w:rsid w:val="007F5444"/>
    <w:rsid w:val="007F5544"/>
    <w:rsid w:val="007F5FE0"/>
    <w:rsid w:val="007F622F"/>
    <w:rsid w:val="007F647F"/>
    <w:rsid w:val="007F679D"/>
    <w:rsid w:val="007F6B87"/>
    <w:rsid w:val="007F6E7F"/>
    <w:rsid w:val="007F6FBC"/>
    <w:rsid w:val="007F7328"/>
    <w:rsid w:val="007F754A"/>
    <w:rsid w:val="00800A6E"/>
    <w:rsid w:val="00802597"/>
    <w:rsid w:val="00802AA4"/>
    <w:rsid w:val="00802E5F"/>
    <w:rsid w:val="008065ED"/>
    <w:rsid w:val="00807BD0"/>
    <w:rsid w:val="0081019D"/>
    <w:rsid w:val="008125E7"/>
    <w:rsid w:val="008126BD"/>
    <w:rsid w:val="008141AD"/>
    <w:rsid w:val="0081459B"/>
    <w:rsid w:val="00814F66"/>
    <w:rsid w:val="008151E9"/>
    <w:rsid w:val="0081644E"/>
    <w:rsid w:val="00816A88"/>
    <w:rsid w:val="00816D80"/>
    <w:rsid w:val="008204C2"/>
    <w:rsid w:val="00821E2F"/>
    <w:rsid w:val="00822053"/>
    <w:rsid w:val="008233CC"/>
    <w:rsid w:val="008235CB"/>
    <w:rsid w:val="008237F6"/>
    <w:rsid w:val="00825C00"/>
    <w:rsid w:val="0082718C"/>
    <w:rsid w:val="00830FF0"/>
    <w:rsid w:val="008328C7"/>
    <w:rsid w:val="0083381E"/>
    <w:rsid w:val="00834EBA"/>
    <w:rsid w:val="0083546C"/>
    <w:rsid w:val="00836D29"/>
    <w:rsid w:val="00840CFC"/>
    <w:rsid w:val="00841C0C"/>
    <w:rsid w:val="008423E6"/>
    <w:rsid w:val="00842D33"/>
    <w:rsid w:val="00843826"/>
    <w:rsid w:val="00843FEE"/>
    <w:rsid w:val="00844426"/>
    <w:rsid w:val="00844BE6"/>
    <w:rsid w:val="00844C3A"/>
    <w:rsid w:val="00845557"/>
    <w:rsid w:val="00845902"/>
    <w:rsid w:val="00846BB1"/>
    <w:rsid w:val="00847D6B"/>
    <w:rsid w:val="008513AD"/>
    <w:rsid w:val="00851519"/>
    <w:rsid w:val="008520FB"/>
    <w:rsid w:val="0085272B"/>
    <w:rsid w:val="00852B90"/>
    <w:rsid w:val="00853217"/>
    <w:rsid w:val="0085408F"/>
    <w:rsid w:val="008541C9"/>
    <w:rsid w:val="008561CB"/>
    <w:rsid w:val="00856AA9"/>
    <w:rsid w:val="008618EA"/>
    <w:rsid w:val="00862388"/>
    <w:rsid w:val="00862E65"/>
    <w:rsid w:val="00862F7F"/>
    <w:rsid w:val="008639CD"/>
    <w:rsid w:val="00865D3B"/>
    <w:rsid w:val="008678EB"/>
    <w:rsid w:val="00867A6A"/>
    <w:rsid w:val="0087082A"/>
    <w:rsid w:val="00871CA8"/>
    <w:rsid w:val="0087446C"/>
    <w:rsid w:val="00874845"/>
    <w:rsid w:val="00874EB2"/>
    <w:rsid w:val="0087541E"/>
    <w:rsid w:val="00875895"/>
    <w:rsid w:val="0087613B"/>
    <w:rsid w:val="008766BC"/>
    <w:rsid w:val="0087746E"/>
    <w:rsid w:val="008800DE"/>
    <w:rsid w:val="00880645"/>
    <w:rsid w:val="00881043"/>
    <w:rsid w:val="00881259"/>
    <w:rsid w:val="00881E7C"/>
    <w:rsid w:val="00882513"/>
    <w:rsid w:val="008826FC"/>
    <w:rsid w:val="00882E69"/>
    <w:rsid w:val="00882F9A"/>
    <w:rsid w:val="00883BF0"/>
    <w:rsid w:val="008859E2"/>
    <w:rsid w:val="008861A7"/>
    <w:rsid w:val="008864E5"/>
    <w:rsid w:val="00890694"/>
    <w:rsid w:val="00891065"/>
    <w:rsid w:val="008915EC"/>
    <w:rsid w:val="00893476"/>
    <w:rsid w:val="008936BE"/>
    <w:rsid w:val="008940E2"/>
    <w:rsid w:val="00894137"/>
    <w:rsid w:val="00894D6E"/>
    <w:rsid w:val="00894D9E"/>
    <w:rsid w:val="00895485"/>
    <w:rsid w:val="00896CA5"/>
    <w:rsid w:val="00896D6D"/>
    <w:rsid w:val="008A0D84"/>
    <w:rsid w:val="008A1421"/>
    <w:rsid w:val="008A158D"/>
    <w:rsid w:val="008A16DA"/>
    <w:rsid w:val="008A1BC1"/>
    <w:rsid w:val="008A27FE"/>
    <w:rsid w:val="008A398D"/>
    <w:rsid w:val="008A61D0"/>
    <w:rsid w:val="008B05EF"/>
    <w:rsid w:val="008B0B82"/>
    <w:rsid w:val="008B11D5"/>
    <w:rsid w:val="008B15DE"/>
    <w:rsid w:val="008B1AFD"/>
    <w:rsid w:val="008B1C07"/>
    <w:rsid w:val="008B3A6C"/>
    <w:rsid w:val="008B414C"/>
    <w:rsid w:val="008B44AA"/>
    <w:rsid w:val="008B4C4E"/>
    <w:rsid w:val="008B4E95"/>
    <w:rsid w:val="008B530A"/>
    <w:rsid w:val="008B558F"/>
    <w:rsid w:val="008B58CF"/>
    <w:rsid w:val="008B61FB"/>
    <w:rsid w:val="008B7174"/>
    <w:rsid w:val="008B730B"/>
    <w:rsid w:val="008B76CA"/>
    <w:rsid w:val="008B7986"/>
    <w:rsid w:val="008B7A39"/>
    <w:rsid w:val="008C0173"/>
    <w:rsid w:val="008C0295"/>
    <w:rsid w:val="008C095E"/>
    <w:rsid w:val="008C1038"/>
    <w:rsid w:val="008C109E"/>
    <w:rsid w:val="008C11B1"/>
    <w:rsid w:val="008C23E1"/>
    <w:rsid w:val="008C405D"/>
    <w:rsid w:val="008C43E7"/>
    <w:rsid w:val="008C5242"/>
    <w:rsid w:val="008C5E40"/>
    <w:rsid w:val="008C6279"/>
    <w:rsid w:val="008C6809"/>
    <w:rsid w:val="008C7BF3"/>
    <w:rsid w:val="008D023F"/>
    <w:rsid w:val="008D0B2B"/>
    <w:rsid w:val="008D20DA"/>
    <w:rsid w:val="008D3887"/>
    <w:rsid w:val="008D450B"/>
    <w:rsid w:val="008D475B"/>
    <w:rsid w:val="008D4EB6"/>
    <w:rsid w:val="008D5357"/>
    <w:rsid w:val="008D5EF7"/>
    <w:rsid w:val="008D6C70"/>
    <w:rsid w:val="008D7360"/>
    <w:rsid w:val="008D7530"/>
    <w:rsid w:val="008D760D"/>
    <w:rsid w:val="008D79AB"/>
    <w:rsid w:val="008D7CF8"/>
    <w:rsid w:val="008D7DD9"/>
    <w:rsid w:val="008E08A6"/>
    <w:rsid w:val="008E0CDF"/>
    <w:rsid w:val="008E101D"/>
    <w:rsid w:val="008E14A8"/>
    <w:rsid w:val="008E27BA"/>
    <w:rsid w:val="008E2C27"/>
    <w:rsid w:val="008E3CB4"/>
    <w:rsid w:val="008E3EC9"/>
    <w:rsid w:val="008E5937"/>
    <w:rsid w:val="008E72EB"/>
    <w:rsid w:val="008E7E07"/>
    <w:rsid w:val="008F0E6D"/>
    <w:rsid w:val="008F1C5C"/>
    <w:rsid w:val="008F2A0E"/>
    <w:rsid w:val="008F2B53"/>
    <w:rsid w:val="008F2FCD"/>
    <w:rsid w:val="008F3860"/>
    <w:rsid w:val="008F43F2"/>
    <w:rsid w:val="008F49C9"/>
    <w:rsid w:val="008F5805"/>
    <w:rsid w:val="008F5F83"/>
    <w:rsid w:val="008F7E35"/>
    <w:rsid w:val="0090097A"/>
    <w:rsid w:val="00900F6E"/>
    <w:rsid w:val="00901617"/>
    <w:rsid w:val="00901C38"/>
    <w:rsid w:val="00901D04"/>
    <w:rsid w:val="009027D2"/>
    <w:rsid w:val="00902C87"/>
    <w:rsid w:val="0090356A"/>
    <w:rsid w:val="00903AF7"/>
    <w:rsid w:val="0090445D"/>
    <w:rsid w:val="00904FA3"/>
    <w:rsid w:val="009055AA"/>
    <w:rsid w:val="0090591A"/>
    <w:rsid w:val="00905EFF"/>
    <w:rsid w:val="0090703F"/>
    <w:rsid w:val="009073B6"/>
    <w:rsid w:val="00907930"/>
    <w:rsid w:val="00910865"/>
    <w:rsid w:val="009112A9"/>
    <w:rsid w:val="009116D3"/>
    <w:rsid w:val="009129E0"/>
    <w:rsid w:val="00912A20"/>
    <w:rsid w:val="0091315C"/>
    <w:rsid w:val="00914886"/>
    <w:rsid w:val="0091632F"/>
    <w:rsid w:val="00917F12"/>
    <w:rsid w:val="00920A76"/>
    <w:rsid w:val="00921A2A"/>
    <w:rsid w:val="00921FAC"/>
    <w:rsid w:val="009238B8"/>
    <w:rsid w:val="009246FC"/>
    <w:rsid w:val="0092495D"/>
    <w:rsid w:val="00925334"/>
    <w:rsid w:val="009275F6"/>
    <w:rsid w:val="00930E17"/>
    <w:rsid w:val="009311B1"/>
    <w:rsid w:val="00931D2D"/>
    <w:rsid w:val="00934589"/>
    <w:rsid w:val="00936037"/>
    <w:rsid w:val="009361AF"/>
    <w:rsid w:val="00937107"/>
    <w:rsid w:val="00937227"/>
    <w:rsid w:val="00937D41"/>
    <w:rsid w:val="00937F87"/>
    <w:rsid w:val="00940893"/>
    <w:rsid w:val="009410C3"/>
    <w:rsid w:val="009426C5"/>
    <w:rsid w:val="0094325D"/>
    <w:rsid w:val="00943A34"/>
    <w:rsid w:val="00944425"/>
    <w:rsid w:val="009453CC"/>
    <w:rsid w:val="009459BE"/>
    <w:rsid w:val="00945C09"/>
    <w:rsid w:val="009460DA"/>
    <w:rsid w:val="009478C6"/>
    <w:rsid w:val="0094798A"/>
    <w:rsid w:val="00947C3F"/>
    <w:rsid w:val="00950B7C"/>
    <w:rsid w:val="0095102A"/>
    <w:rsid w:val="00951674"/>
    <w:rsid w:val="009516B0"/>
    <w:rsid w:val="00952049"/>
    <w:rsid w:val="00952997"/>
    <w:rsid w:val="00953330"/>
    <w:rsid w:val="009543E5"/>
    <w:rsid w:val="00955248"/>
    <w:rsid w:val="0095599B"/>
    <w:rsid w:val="00956486"/>
    <w:rsid w:val="00956676"/>
    <w:rsid w:val="0095678E"/>
    <w:rsid w:val="00957583"/>
    <w:rsid w:val="00957D0E"/>
    <w:rsid w:val="00960F95"/>
    <w:rsid w:val="009611B6"/>
    <w:rsid w:val="00962F01"/>
    <w:rsid w:val="009647EC"/>
    <w:rsid w:val="00964E33"/>
    <w:rsid w:val="00964EE5"/>
    <w:rsid w:val="0096526D"/>
    <w:rsid w:val="00965A85"/>
    <w:rsid w:val="009668A0"/>
    <w:rsid w:val="009669E4"/>
    <w:rsid w:val="00966E83"/>
    <w:rsid w:val="00967416"/>
    <w:rsid w:val="00967E58"/>
    <w:rsid w:val="009700DC"/>
    <w:rsid w:val="00970B23"/>
    <w:rsid w:val="009726B0"/>
    <w:rsid w:val="00973D92"/>
    <w:rsid w:val="00974329"/>
    <w:rsid w:val="00974D23"/>
    <w:rsid w:val="00975CAF"/>
    <w:rsid w:val="00976D03"/>
    <w:rsid w:val="00977911"/>
    <w:rsid w:val="00977EB9"/>
    <w:rsid w:val="009800D1"/>
    <w:rsid w:val="00980A74"/>
    <w:rsid w:val="00981459"/>
    <w:rsid w:val="00982041"/>
    <w:rsid w:val="009822B4"/>
    <w:rsid w:val="00982D2C"/>
    <w:rsid w:val="0098406A"/>
    <w:rsid w:val="009848DC"/>
    <w:rsid w:val="00984C0D"/>
    <w:rsid w:val="00985C40"/>
    <w:rsid w:val="00987734"/>
    <w:rsid w:val="00987DF5"/>
    <w:rsid w:val="00991352"/>
    <w:rsid w:val="009934F5"/>
    <w:rsid w:val="00993513"/>
    <w:rsid w:val="0099486F"/>
    <w:rsid w:val="00994AAD"/>
    <w:rsid w:val="00994D82"/>
    <w:rsid w:val="00994D91"/>
    <w:rsid w:val="00995D49"/>
    <w:rsid w:val="00997201"/>
    <w:rsid w:val="00997A3E"/>
    <w:rsid w:val="009A043B"/>
    <w:rsid w:val="009A069B"/>
    <w:rsid w:val="009A0AC9"/>
    <w:rsid w:val="009A0D11"/>
    <w:rsid w:val="009A1192"/>
    <w:rsid w:val="009A1C06"/>
    <w:rsid w:val="009A29E7"/>
    <w:rsid w:val="009A3802"/>
    <w:rsid w:val="009A5DF0"/>
    <w:rsid w:val="009A6F5D"/>
    <w:rsid w:val="009A7A80"/>
    <w:rsid w:val="009B0752"/>
    <w:rsid w:val="009B08AA"/>
    <w:rsid w:val="009B1249"/>
    <w:rsid w:val="009B34C6"/>
    <w:rsid w:val="009B3FA3"/>
    <w:rsid w:val="009B4337"/>
    <w:rsid w:val="009B52DD"/>
    <w:rsid w:val="009B56F6"/>
    <w:rsid w:val="009B70CF"/>
    <w:rsid w:val="009B7FF7"/>
    <w:rsid w:val="009C11F1"/>
    <w:rsid w:val="009C2BAA"/>
    <w:rsid w:val="009C5840"/>
    <w:rsid w:val="009C624F"/>
    <w:rsid w:val="009C7459"/>
    <w:rsid w:val="009C7472"/>
    <w:rsid w:val="009D014B"/>
    <w:rsid w:val="009D040B"/>
    <w:rsid w:val="009D13A7"/>
    <w:rsid w:val="009D13F9"/>
    <w:rsid w:val="009D1458"/>
    <w:rsid w:val="009D1996"/>
    <w:rsid w:val="009D276B"/>
    <w:rsid w:val="009D372C"/>
    <w:rsid w:val="009D6F97"/>
    <w:rsid w:val="009D7ACA"/>
    <w:rsid w:val="009D7EFC"/>
    <w:rsid w:val="009E199C"/>
    <w:rsid w:val="009E2051"/>
    <w:rsid w:val="009E3BC0"/>
    <w:rsid w:val="009E475C"/>
    <w:rsid w:val="009E580D"/>
    <w:rsid w:val="009E5D03"/>
    <w:rsid w:val="009E6631"/>
    <w:rsid w:val="009E6D31"/>
    <w:rsid w:val="009E7CA5"/>
    <w:rsid w:val="009E7CD1"/>
    <w:rsid w:val="009E7FC1"/>
    <w:rsid w:val="009F005B"/>
    <w:rsid w:val="009F05C7"/>
    <w:rsid w:val="009F08F4"/>
    <w:rsid w:val="009F0936"/>
    <w:rsid w:val="009F1391"/>
    <w:rsid w:val="009F2C33"/>
    <w:rsid w:val="009F3774"/>
    <w:rsid w:val="009F42D8"/>
    <w:rsid w:val="009F4AD8"/>
    <w:rsid w:val="009F4F31"/>
    <w:rsid w:val="009F5CBB"/>
    <w:rsid w:val="009F683B"/>
    <w:rsid w:val="009F74E7"/>
    <w:rsid w:val="009F7AB8"/>
    <w:rsid w:val="009F7FB8"/>
    <w:rsid w:val="00A003B5"/>
    <w:rsid w:val="00A0050A"/>
    <w:rsid w:val="00A01618"/>
    <w:rsid w:val="00A0227C"/>
    <w:rsid w:val="00A02A38"/>
    <w:rsid w:val="00A02BA1"/>
    <w:rsid w:val="00A033BB"/>
    <w:rsid w:val="00A03EC3"/>
    <w:rsid w:val="00A043BE"/>
    <w:rsid w:val="00A04DD3"/>
    <w:rsid w:val="00A06382"/>
    <w:rsid w:val="00A0671C"/>
    <w:rsid w:val="00A06BFD"/>
    <w:rsid w:val="00A0724F"/>
    <w:rsid w:val="00A10E1E"/>
    <w:rsid w:val="00A114BA"/>
    <w:rsid w:val="00A12530"/>
    <w:rsid w:val="00A129A5"/>
    <w:rsid w:val="00A12BB0"/>
    <w:rsid w:val="00A132A9"/>
    <w:rsid w:val="00A132FF"/>
    <w:rsid w:val="00A1331B"/>
    <w:rsid w:val="00A151AB"/>
    <w:rsid w:val="00A15293"/>
    <w:rsid w:val="00A16F05"/>
    <w:rsid w:val="00A17A77"/>
    <w:rsid w:val="00A218C6"/>
    <w:rsid w:val="00A22DFE"/>
    <w:rsid w:val="00A23F41"/>
    <w:rsid w:val="00A24501"/>
    <w:rsid w:val="00A2498B"/>
    <w:rsid w:val="00A25A24"/>
    <w:rsid w:val="00A2611E"/>
    <w:rsid w:val="00A273FF"/>
    <w:rsid w:val="00A27AD5"/>
    <w:rsid w:val="00A30213"/>
    <w:rsid w:val="00A30661"/>
    <w:rsid w:val="00A3134D"/>
    <w:rsid w:val="00A3277A"/>
    <w:rsid w:val="00A35984"/>
    <w:rsid w:val="00A35DB0"/>
    <w:rsid w:val="00A36AAB"/>
    <w:rsid w:val="00A37CDA"/>
    <w:rsid w:val="00A4032E"/>
    <w:rsid w:val="00A40384"/>
    <w:rsid w:val="00A4186D"/>
    <w:rsid w:val="00A4225B"/>
    <w:rsid w:val="00A4290B"/>
    <w:rsid w:val="00A43F00"/>
    <w:rsid w:val="00A4433B"/>
    <w:rsid w:val="00A44859"/>
    <w:rsid w:val="00A455EE"/>
    <w:rsid w:val="00A4697E"/>
    <w:rsid w:val="00A50737"/>
    <w:rsid w:val="00A507E3"/>
    <w:rsid w:val="00A50BCD"/>
    <w:rsid w:val="00A521C1"/>
    <w:rsid w:val="00A539C8"/>
    <w:rsid w:val="00A5460B"/>
    <w:rsid w:val="00A55B89"/>
    <w:rsid w:val="00A5651E"/>
    <w:rsid w:val="00A56F08"/>
    <w:rsid w:val="00A57B6B"/>
    <w:rsid w:val="00A57EE7"/>
    <w:rsid w:val="00A60262"/>
    <w:rsid w:val="00A60503"/>
    <w:rsid w:val="00A60DFF"/>
    <w:rsid w:val="00A627A8"/>
    <w:rsid w:val="00A63764"/>
    <w:rsid w:val="00A63998"/>
    <w:rsid w:val="00A63C97"/>
    <w:rsid w:val="00A63FE3"/>
    <w:rsid w:val="00A640BA"/>
    <w:rsid w:val="00A642C4"/>
    <w:rsid w:val="00A643B1"/>
    <w:rsid w:val="00A64F82"/>
    <w:rsid w:val="00A655DC"/>
    <w:rsid w:val="00A65DC5"/>
    <w:rsid w:val="00A65E51"/>
    <w:rsid w:val="00A663B3"/>
    <w:rsid w:val="00A66527"/>
    <w:rsid w:val="00A66B76"/>
    <w:rsid w:val="00A70C8F"/>
    <w:rsid w:val="00A71045"/>
    <w:rsid w:val="00A720D1"/>
    <w:rsid w:val="00A727B6"/>
    <w:rsid w:val="00A733EB"/>
    <w:rsid w:val="00A73CEC"/>
    <w:rsid w:val="00A749F1"/>
    <w:rsid w:val="00A74FA4"/>
    <w:rsid w:val="00A7631C"/>
    <w:rsid w:val="00A77828"/>
    <w:rsid w:val="00A77AA3"/>
    <w:rsid w:val="00A77B84"/>
    <w:rsid w:val="00A81204"/>
    <w:rsid w:val="00A81392"/>
    <w:rsid w:val="00A82467"/>
    <w:rsid w:val="00A825AB"/>
    <w:rsid w:val="00A82804"/>
    <w:rsid w:val="00A82ADE"/>
    <w:rsid w:val="00A84109"/>
    <w:rsid w:val="00A8429F"/>
    <w:rsid w:val="00A842BF"/>
    <w:rsid w:val="00A84876"/>
    <w:rsid w:val="00A8491A"/>
    <w:rsid w:val="00A84935"/>
    <w:rsid w:val="00A85029"/>
    <w:rsid w:val="00A85687"/>
    <w:rsid w:val="00A86AB6"/>
    <w:rsid w:val="00A87069"/>
    <w:rsid w:val="00A87247"/>
    <w:rsid w:val="00A87413"/>
    <w:rsid w:val="00A87672"/>
    <w:rsid w:val="00A90B9E"/>
    <w:rsid w:val="00A94C3A"/>
    <w:rsid w:val="00A968AD"/>
    <w:rsid w:val="00A96B56"/>
    <w:rsid w:val="00AA03E3"/>
    <w:rsid w:val="00AA136A"/>
    <w:rsid w:val="00AA2B77"/>
    <w:rsid w:val="00AA3172"/>
    <w:rsid w:val="00AA33B8"/>
    <w:rsid w:val="00AA3CF1"/>
    <w:rsid w:val="00AA4184"/>
    <w:rsid w:val="00AA563A"/>
    <w:rsid w:val="00AA66DE"/>
    <w:rsid w:val="00AA7556"/>
    <w:rsid w:val="00AA76CE"/>
    <w:rsid w:val="00AB026F"/>
    <w:rsid w:val="00AB034B"/>
    <w:rsid w:val="00AB0A54"/>
    <w:rsid w:val="00AB10B0"/>
    <w:rsid w:val="00AB1223"/>
    <w:rsid w:val="00AB1D30"/>
    <w:rsid w:val="00AB2802"/>
    <w:rsid w:val="00AB316C"/>
    <w:rsid w:val="00AB332E"/>
    <w:rsid w:val="00AB50B5"/>
    <w:rsid w:val="00AB5C0D"/>
    <w:rsid w:val="00AB68EB"/>
    <w:rsid w:val="00AC1E53"/>
    <w:rsid w:val="00AC268E"/>
    <w:rsid w:val="00AC2ACE"/>
    <w:rsid w:val="00AC337D"/>
    <w:rsid w:val="00AC3E31"/>
    <w:rsid w:val="00AC3F1C"/>
    <w:rsid w:val="00AC447C"/>
    <w:rsid w:val="00AC458F"/>
    <w:rsid w:val="00AC49B1"/>
    <w:rsid w:val="00AC5EC2"/>
    <w:rsid w:val="00AC63F7"/>
    <w:rsid w:val="00AC6858"/>
    <w:rsid w:val="00AC68C3"/>
    <w:rsid w:val="00AC6BC0"/>
    <w:rsid w:val="00AD12A5"/>
    <w:rsid w:val="00AD15A2"/>
    <w:rsid w:val="00AD181F"/>
    <w:rsid w:val="00AD19AE"/>
    <w:rsid w:val="00AD2087"/>
    <w:rsid w:val="00AD265E"/>
    <w:rsid w:val="00AD2CD8"/>
    <w:rsid w:val="00AD311B"/>
    <w:rsid w:val="00AD3ADD"/>
    <w:rsid w:val="00AD66F4"/>
    <w:rsid w:val="00AD73E6"/>
    <w:rsid w:val="00AD771B"/>
    <w:rsid w:val="00AD77C1"/>
    <w:rsid w:val="00AE05BD"/>
    <w:rsid w:val="00AE0BEB"/>
    <w:rsid w:val="00AE1310"/>
    <w:rsid w:val="00AE2A51"/>
    <w:rsid w:val="00AE2BE4"/>
    <w:rsid w:val="00AE4161"/>
    <w:rsid w:val="00AE4270"/>
    <w:rsid w:val="00AE4705"/>
    <w:rsid w:val="00AE575F"/>
    <w:rsid w:val="00AE5A28"/>
    <w:rsid w:val="00AE6750"/>
    <w:rsid w:val="00AE6A2B"/>
    <w:rsid w:val="00AE7208"/>
    <w:rsid w:val="00AE787A"/>
    <w:rsid w:val="00AF0047"/>
    <w:rsid w:val="00AF0196"/>
    <w:rsid w:val="00AF113C"/>
    <w:rsid w:val="00AF1709"/>
    <w:rsid w:val="00AF1A0B"/>
    <w:rsid w:val="00AF1A53"/>
    <w:rsid w:val="00AF37C3"/>
    <w:rsid w:val="00AF3AB0"/>
    <w:rsid w:val="00AF411A"/>
    <w:rsid w:val="00AF46C7"/>
    <w:rsid w:val="00AF561B"/>
    <w:rsid w:val="00AF6276"/>
    <w:rsid w:val="00AF69D4"/>
    <w:rsid w:val="00AF6AC3"/>
    <w:rsid w:val="00AF6F4A"/>
    <w:rsid w:val="00AF7C50"/>
    <w:rsid w:val="00AF7D19"/>
    <w:rsid w:val="00B00596"/>
    <w:rsid w:val="00B00895"/>
    <w:rsid w:val="00B00A11"/>
    <w:rsid w:val="00B017DA"/>
    <w:rsid w:val="00B01E15"/>
    <w:rsid w:val="00B02545"/>
    <w:rsid w:val="00B028AE"/>
    <w:rsid w:val="00B02984"/>
    <w:rsid w:val="00B02EAE"/>
    <w:rsid w:val="00B03565"/>
    <w:rsid w:val="00B035DB"/>
    <w:rsid w:val="00B03DBD"/>
    <w:rsid w:val="00B03EC9"/>
    <w:rsid w:val="00B046C1"/>
    <w:rsid w:val="00B046E5"/>
    <w:rsid w:val="00B059A0"/>
    <w:rsid w:val="00B061D1"/>
    <w:rsid w:val="00B06251"/>
    <w:rsid w:val="00B06A46"/>
    <w:rsid w:val="00B06FBD"/>
    <w:rsid w:val="00B07DD9"/>
    <w:rsid w:val="00B10070"/>
    <w:rsid w:val="00B10B8B"/>
    <w:rsid w:val="00B10CCB"/>
    <w:rsid w:val="00B11A57"/>
    <w:rsid w:val="00B14A19"/>
    <w:rsid w:val="00B14B61"/>
    <w:rsid w:val="00B17A4A"/>
    <w:rsid w:val="00B17D98"/>
    <w:rsid w:val="00B20210"/>
    <w:rsid w:val="00B20546"/>
    <w:rsid w:val="00B218F5"/>
    <w:rsid w:val="00B22A49"/>
    <w:rsid w:val="00B237E7"/>
    <w:rsid w:val="00B239A1"/>
    <w:rsid w:val="00B23BAA"/>
    <w:rsid w:val="00B25245"/>
    <w:rsid w:val="00B2543D"/>
    <w:rsid w:val="00B25E73"/>
    <w:rsid w:val="00B261E3"/>
    <w:rsid w:val="00B26F0D"/>
    <w:rsid w:val="00B30151"/>
    <w:rsid w:val="00B313B6"/>
    <w:rsid w:val="00B31790"/>
    <w:rsid w:val="00B32B51"/>
    <w:rsid w:val="00B3309A"/>
    <w:rsid w:val="00B337D5"/>
    <w:rsid w:val="00B33AE5"/>
    <w:rsid w:val="00B34547"/>
    <w:rsid w:val="00B3461B"/>
    <w:rsid w:val="00B3583A"/>
    <w:rsid w:val="00B35AB6"/>
    <w:rsid w:val="00B35DA9"/>
    <w:rsid w:val="00B37FC8"/>
    <w:rsid w:val="00B40035"/>
    <w:rsid w:val="00B40061"/>
    <w:rsid w:val="00B40F40"/>
    <w:rsid w:val="00B416DC"/>
    <w:rsid w:val="00B419A8"/>
    <w:rsid w:val="00B41DA2"/>
    <w:rsid w:val="00B42374"/>
    <w:rsid w:val="00B4294B"/>
    <w:rsid w:val="00B43193"/>
    <w:rsid w:val="00B4331E"/>
    <w:rsid w:val="00B43925"/>
    <w:rsid w:val="00B4460E"/>
    <w:rsid w:val="00B44702"/>
    <w:rsid w:val="00B4485F"/>
    <w:rsid w:val="00B44BDA"/>
    <w:rsid w:val="00B450A5"/>
    <w:rsid w:val="00B45163"/>
    <w:rsid w:val="00B46A1B"/>
    <w:rsid w:val="00B46AA1"/>
    <w:rsid w:val="00B47A63"/>
    <w:rsid w:val="00B47D2F"/>
    <w:rsid w:val="00B502B9"/>
    <w:rsid w:val="00B51519"/>
    <w:rsid w:val="00B53CEE"/>
    <w:rsid w:val="00B53D16"/>
    <w:rsid w:val="00B54A11"/>
    <w:rsid w:val="00B55279"/>
    <w:rsid w:val="00B55D31"/>
    <w:rsid w:val="00B56878"/>
    <w:rsid w:val="00B5737E"/>
    <w:rsid w:val="00B5745B"/>
    <w:rsid w:val="00B5761A"/>
    <w:rsid w:val="00B615FD"/>
    <w:rsid w:val="00B6168C"/>
    <w:rsid w:val="00B61BBB"/>
    <w:rsid w:val="00B62117"/>
    <w:rsid w:val="00B62273"/>
    <w:rsid w:val="00B62E7D"/>
    <w:rsid w:val="00B63103"/>
    <w:rsid w:val="00B635E7"/>
    <w:rsid w:val="00B63B88"/>
    <w:rsid w:val="00B64BE9"/>
    <w:rsid w:val="00B6565B"/>
    <w:rsid w:val="00B65CE0"/>
    <w:rsid w:val="00B6658A"/>
    <w:rsid w:val="00B715BD"/>
    <w:rsid w:val="00B71944"/>
    <w:rsid w:val="00B71A47"/>
    <w:rsid w:val="00B71B88"/>
    <w:rsid w:val="00B7248F"/>
    <w:rsid w:val="00B73915"/>
    <w:rsid w:val="00B739CA"/>
    <w:rsid w:val="00B74123"/>
    <w:rsid w:val="00B741D6"/>
    <w:rsid w:val="00B75510"/>
    <w:rsid w:val="00B7578A"/>
    <w:rsid w:val="00B7625E"/>
    <w:rsid w:val="00B769AB"/>
    <w:rsid w:val="00B775DC"/>
    <w:rsid w:val="00B8067C"/>
    <w:rsid w:val="00B808E7"/>
    <w:rsid w:val="00B8103F"/>
    <w:rsid w:val="00B81439"/>
    <w:rsid w:val="00B83E86"/>
    <w:rsid w:val="00B840A7"/>
    <w:rsid w:val="00B84618"/>
    <w:rsid w:val="00B84AB4"/>
    <w:rsid w:val="00B84D33"/>
    <w:rsid w:val="00B85A0D"/>
    <w:rsid w:val="00B86510"/>
    <w:rsid w:val="00B86962"/>
    <w:rsid w:val="00B86CB4"/>
    <w:rsid w:val="00B90110"/>
    <w:rsid w:val="00B91E8A"/>
    <w:rsid w:val="00B92988"/>
    <w:rsid w:val="00B9378F"/>
    <w:rsid w:val="00B94C26"/>
    <w:rsid w:val="00B95B91"/>
    <w:rsid w:val="00B95CE3"/>
    <w:rsid w:val="00B9665E"/>
    <w:rsid w:val="00B968FC"/>
    <w:rsid w:val="00B96BCE"/>
    <w:rsid w:val="00B970E6"/>
    <w:rsid w:val="00BA2FA4"/>
    <w:rsid w:val="00BA30D9"/>
    <w:rsid w:val="00BA47D0"/>
    <w:rsid w:val="00BA6128"/>
    <w:rsid w:val="00BA614E"/>
    <w:rsid w:val="00BA6A14"/>
    <w:rsid w:val="00BA6B97"/>
    <w:rsid w:val="00BA6F06"/>
    <w:rsid w:val="00BA7506"/>
    <w:rsid w:val="00BA7804"/>
    <w:rsid w:val="00BA7D21"/>
    <w:rsid w:val="00BA7EA3"/>
    <w:rsid w:val="00BB04EA"/>
    <w:rsid w:val="00BB06DB"/>
    <w:rsid w:val="00BB0CB0"/>
    <w:rsid w:val="00BB14FB"/>
    <w:rsid w:val="00BB15A1"/>
    <w:rsid w:val="00BB449F"/>
    <w:rsid w:val="00BB5447"/>
    <w:rsid w:val="00BB718A"/>
    <w:rsid w:val="00BB76D2"/>
    <w:rsid w:val="00BB7876"/>
    <w:rsid w:val="00BC00C6"/>
    <w:rsid w:val="00BC075F"/>
    <w:rsid w:val="00BC1D01"/>
    <w:rsid w:val="00BC2BDA"/>
    <w:rsid w:val="00BC3E1E"/>
    <w:rsid w:val="00BC4359"/>
    <w:rsid w:val="00BC554B"/>
    <w:rsid w:val="00BC581F"/>
    <w:rsid w:val="00BC6662"/>
    <w:rsid w:val="00BC77A5"/>
    <w:rsid w:val="00BD017F"/>
    <w:rsid w:val="00BD051B"/>
    <w:rsid w:val="00BD1BC3"/>
    <w:rsid w:val="00BD2872"/>
    <w:rsid w:val="00BD338A"/>
    <w:rsid w:val="00BD363B"/>
    <w:rsid w:val="00BD4262"/>
    <w:rsid w:val="00BD4462"/>
    <w:rsid w:val="00BD550D"/>
    <w:rsid w:val="00BD66ED"/>
    <w:rsid w:val="00BD701C"/>
    <w:rsid w:val="00BE01E9"/>
    <w:rsid w:val="00BE0903"/>
    <w:rsid w:val="00BE0FED"/>
    <w:rsid w:val="00BE1A6C"/>
    <w:rsid w:val="00BE287E"/>
    <w:rsid w:val="00BE2D9D"/>
    <w:rsid w:val="00BE4025"/>
    <w:rsid w:val="00BE46F9"/>
    <w:rsid w:val="00BE4B58"/>
    <w:rsid w:val="00BE4BE6"/>
    <w:rsid w:val="00BE53AB"/>
    <w:rsid w:val="00BE55E9"/>
    <w:rsid w:val="00BE6508"/>
    <w:rsid w:val="00BE660C"/>
    <w:rsid w:val="00BE6B18"/>
    <w:rsid w:val="00BE7F34"/>
    <w:rsid w:val="00BE7FC7"/>
    <w:rsid w:val="00BF1584"/>
    <w:rsid w:val="00BF199B"/>
    <w:rsid w:val="00BF1EFD"/>
    <w:rsid w:val="00BF2178"/>
    <w:rsid w:val="00BF39BD"/>
    <w:rsid w:val="00BF3F9B"/>
    <w:rsid w:val="00BF5EBA"/>
    <w:rsid w:val="00BF673F"/>
    <w:rsid w:val="00BF6DB3"/>
    <w:rsid w:val="00BF7397"/>
    <w:rsid w:val="00C00EB9"/>
    <w:rsid w:val="00C02068"/>
    <w:rsid w:val="00C02815"/>
    <w:rsid w:val="00C029F6"/>
    <w:rsid w:val="00C02A82"/>
    <w:rsid w:val="00C02F34"/>
    <w:rsid w:val="00C038F8"/>
    <w:rsid w:val="00C039CF"/>
    <w:rsid w:val="00C05B5B"/>
    <w:rsid w:val="00C06446"/>
    <w:rsid w:val="00C0658A"/>
    <w:rsid w:val="00C075B5"/>
    <w:rsid w:val="00C0766E"/>
    <w:rsid w:val="00C07692"/>
    <w:rsid w:val="00C10E97"/>
    <w:rsid w:val="00C11819"/>
    <w:rsid w:val="00C123D2"/>
    <w:rsid w:val="00C1269B"/>
    <w:rsid w:val="00C13791"/>
    <w:rsid w:val="00C13847"/>
    <w:rsid w:val="00C14972"/>
    <w:rsid w:val="00C15C25"/>
    <w:rsid w:val="00C16198"/>
    <w:rsid w:val="00C16442"/>
    <w:rsid w:val="00C209AA"/>
    <w:rsid w:val="00C211A0"/>
    <w:rsid w:val="00C21707"/>
    <w:rsid w:val="00C221C6"/>
    <w:rsid w:val="00C23E5E"/>
    <w:rsid w:val="00C25059"/>
    <w:rsid w:val="00C2532A"/>
    <w:rsid w:val="00C26D0D"/>
    <w:rsid w:val="00C279D5"/>
    <w:rsid w:val="00C303BD"/>
    <w:rsid w:val="00C30408"/>
    <w:rsid w:val="00C30F6A"/>
    <w:rsid w:val="00C31352"/>
    <w:rsid w:val="00C313B8"/>
    <w:rsid w:val="00C31BC7"/>
    <w:rsid w:val="00C31E0C"/>
    <w:rsid w:val="00C32E1F"/>
    <w:rsid w:val="00C3369D"/>
    <w:rsid w:val="00C33A27"/>
    <w:rsid w:val="00C33F22"/>
    <w:rsid w:val="00C34DAA"/>
    <w:rsid w:val="00C34FA0"/>
    <w:rsid w:val="00C35937"/>
    <w:rsid w:val="00C36736"/>
    <w:rsid w:val="00C379B9"/>
    <w:rsid w:val="00C40BE5"/>
    <w:rsid w:val="00C41C1F"/>
    <w:rsid w:val="00C424CD"/>
    <w:rsid w:val="00C4251E"/>
    <w:rsid w:val="00C428A8"/>
    <w:rsid w:val="00C44CB8"/>
    <w:rsid w:val="00C4564C"/>
    <w:rsid w:val="00C46B6E"/>
    <w:rsid w:val="00C470C9"/>
    <w:rsid w:val="00C47DCA"/>
    <w:rsid w:val="00C5013E"/>
    <w:rsid w:val="00C50B9E"/>
    <w:rsid w:val="00C51179"/>
    <w:rsid w:val="00C51DB0"/>
    <w:rsid w:val="00C5237D"/>
    <w:rsid w:val="00C540EE"/>
    <w:rsid w:val="00C54674"/>
    <w:rsid w:val="00C5538C"/>
    <w:rsid w:val="00C5542B"/>
    <w:rsid w:val="00C55802"/>
    <w:rsid w:val="00C55A7C"/>
    <w:rsid w:val="00C560D7"/>
    <w:rsid w:val="00C56173"/>
    <w:rsid w:val="00C5634C"/>
    <w:rsid w:val="00C579D9"/>
    <w:rsid w:val="00C57C8F"/>
    <w:rsid w:val="00C604F6"/>
    <w:rsid w:val="00C606AB"/>
    <w:rsid w:val="00C6074A"/>
    <w:rsid w:val="00C60AE3"/>
    <w:rsid w:val="00C60F38"/>
    <w:rsid w:val="00C610C0"/>
    <w:rsid w:val="00C61CD1"/>
    <w:rsid w:val="00C624B9"/>
    <w:rsid w:val="00C6270C"/>
    <w:rsid w:val="00C63021"/>
    <w:rsid w:val="00C632CA"/>
    <w:rsid w:val="00C6335F"/>
    <w:rsid w:val="00C6348F"/>
    <w:rsid w:val="00C63BFE"/>
    <w:rsid w:val="00C63E18"/>
    <w:rsid w:val="00C63E87"/>
    <w:rsid w:val="00C641B6"/>
    <w:rsid w:val="00C64410"/>
    <w:rsid w:val="00C64945"/>
    <w:rsid w:val="00C64E6A"/>
    <w:rsid w:val="00C65010"/>
    <w:rsid w:val="00C6503B"/>
    <w:rsid w:val="00C654FB"/>
    <w:rsid w:val="00C65795"/>
    <w:rsid w:val="00C65DB0"/>
    <w:rsid w:val="00C6612B"/>
    <w:rsid w:val="00C6792D"/>
    <w:rsid w:val="00C67F5D"/>
    <w:rsid w:val="00C74D94"/>
    <w:rsid w:val="00C757BA"/>
    <w:rsid w:val="00C75E56"/>
    <w:rsid w:val="00C763E2"/>
    <w:rsid w:val="00C767DF"/>
    <w:rsid w:val="00C7693C"/>
    <w:rsid w:val="00C76A52"/>
    <w:rsid w:val="00C80697"/>
    <w:rsid w:val="00C80886"/>
    <w:rsid w:val="00C80F35"/>
    <w:rsid w:val="00C81B04"/>
    <w:rsid w:val="00C81FA0"/>
    <w:rsid w:val="00C82059"/>
    <w:rsid w:val="00C82368"/>
    <w:rsid w:val="00C824CA"/>
    <w:rsid w:val="00C848D0"/>
    <w:rsid w:val="00C8704F"/>
    <w:rsid w:val="00C87CCE"/>
    <w:rsid w:val="00C90298"/>
    <w:rsid w:val="00C916B3"/>
    <w:rsid w:val="00C9176D"/>
    <w:rsid w:val="00C922BA"/>
    <w:rsid w:val="00C9278C"/>
    <w:rsid w:val="00C936FC"/>
    <w:rsid w:val="00C94D92"/>
    <w:rsid w:val="00C95647"/>
    <w:rsid w:val="00C95997"/>
    <w:rsid w:val="00C95A8E"/>
    <w:rsid w:val="00C97FB8"/>
    <w:rsid w:val="00CA2007"/>
    <w:rsid w:val="00CA3F5A"/>
    <w:rsid w:val="00CA50AC"/>
    <w:rsid w:val="00CA656B"/>
    <w:rsid w:val="00CA69AA"/>
    <w:rsid w:val="00CA6C47"/>
    <w:rsid w:val="00CA6D04"/>
    <w:rsid w:val="00CA78D0"/>
    <w:rsid w:val="00CA7A3E"/>
    <w:rsid w:val="00CB091A"/>
    <w:rsid w:val="00CB0FD1"/>
    <w:rsid w:val="00CB22C6"/>
    <w:rsid w:val="00CB2FE0"/>
    <w:rsid w:val="00CB3741"/>
    <w:rsid w:val="00CB38FC"/>
    <w:rsid w:val="00CB3DB0"/>
    <w:rsid w:val="00CB4F84"/>
    <w:rsid w:val="00CB521A"/>
    <w:rsid w:val="00CB5339"/>
    <w:rsid w:val="00CB60DF"/>
    <w:rsid w:val="00CB6F68"/>
    <w:rsid w:val="00CC056B"/>
    <w:rsid w:val="00CC1FCA"/>
    <w:rsid w:val="00CC385F"/>
    <w:rsid w:val="00CC3ECE"/>
    <w:rsid w:val="00CC6906"/>
    <w:rsid w:val="00CD0793"/>
    <w:rsid w:val="00CD0B93"/>
    <w:rsid w:val="00CD0C2F"/>
    <w:rsid w:val="00CD2963"/>
    <w:rsid w:val="00CD2A1D"/>
    <w:rsid w:val="00CD320B"/>
    <w:rsid w:val="00CD33E3"/>
    <w:rsid w:val="00CD352F"/>
    <w:rsid w:val="00CD35C3"/>
    <w:rsid w:val="00CD3EDE"/>
    <w:rsid w:val="00CD43A6"/>
    <w:rsid w:val="00CD488A"/>
    <w:rsid w:val="00CD552D"/>
    <w:rsid w:val="00CD6229"/>
    <w:rsid w:val="00CD673F"/>
    <w:rsid w:val="00CD7C51"/>
    <w:rsid w:val="00CE076F"/>
    <w:rsid w:val="00CE198C"/>
    <w:rsid w:val="00CE2A36"/>
    <w:rsid w:val="00CE35C3"/>
    <w:rsid w:val="00CE37F6"/>
    <w:rsid w:val="00CE52FE"/>
    <w:rsid w:val="00CE53FA"/>
    <w:rsid w:val="00CE569B"/>
    <w:rsid w:val="00CE6D36"/>
    <w:rsid w:val="00CE7BBC"/>
    <w:rsid w:val="00CE7F7A"/>
    <w:rsid w:val="00CF0E75"/>
    <w:rsid w:val="00CF160F"/>
    <w:rsid w:val="00CF19CC"/>
    <w:rsid w:val="00CF1BAC"/>
    <w:rsid w:val="00CF2A64"/>
    <w:rsid w:val="00CF6062"/>
    <w:rsid w:val="00CF79B8"/>
    <w:rsid w:val="00D00049"/>
    <w:rsid w:val="00D00486"/>
    <w:rsid w:val="00D026AF"/>
    <w:rsid w:val="00D02A8D"/>
    <w:rsid w:val="00D03306"/>
    <w:rsid w:val="00D05CE3"/>
    <w:rsid w:val="00D078B6"/>
    <w:rsid w:val="00D07FFE"/>
    <w:rsid w:val="00D10F2E"/>
    <w:rsid w:val="00D118EE"/>
    <w:rsid w:val="00D12C5F"/>
    <w:rsid w:val="00D130C0"/>
    <w:rsid w:val="00D1393D"/>
    <w:rsid w:val="00D14443"/>
    <w:rsid w:val="00D14DFC"/>
    <w:rsid w:val="00D15395"/>
    <w:rsid w:val="00D159E7"/>
    <w:rsid w:val="00D16040"/>
    <w:rsid w:val="00D172A3"/>
    <w:rsid w:val="00D17B27"/>
    <w:rsid w:val="00D20183"/>
    <w:rsid w:val="00D208CC"/>
    <w:rsid w:val="00D20A8A"/>
    <w:rsid w:val="00D20AF7"/>
    <w:rsid w:val="00D219A5"/>
    <w:rsid w:val="00D22553"/>
    <w:rsid w:val="00D2372D"/>
    <w:rsid w:val="00D24A40"/>
    <w:rsid w:val="00D24B56"/>
    <w:rsid w:val="00D24B60"/>
    <w:rsid w:val="00D25A07"/>
    <w:rsid w:val="00D25A5E"/>
    <w:rsid w:val="00D26CF4"/>
    <w:rsid w:val="00D27437"/>
    <w:rsid w:val="00D30557"/>
    <w:rsid w:val="00D305CB"/>
    <w:rsid w:val="00D317F1"/>
    <w:rsid w:val="00D33512"/>
    <w:rsid w:val="00D34A92"/>
    <w:rsid w:val="00D36391"/>
    <w:rsid w:val="00D364E4"/>
    <w:rsid w:val="00D37F51"/>
    <w:rsid w:val="00D37F6A"/>
    <w:rsid w:val="00D40643"/>
    <w:rsid w:val="00D41625"/>
    <w:rsid w:val="00D416F7"/>
    <w:rsid w:val="00D419A5"/>
    <w:rsid w:val="00D42861"/>
    <w:rsid w:val="00D42F85"/>
    <w:rsid w:val="00D44750"/>
    <w:rsid w:val="00D44A76"/>
    <w:rsid w:val="00D45864"/>
    <w:rsid w:val="00D4630C"/>
    <w:rsid w:val="00D466FB"/>
    <w:rsid w:val="00D50E72"/>
    <w:rsid w:val="00D50FCB"/>
    <w:rsid w:val="00D51682"/>
    <w:rsid w:val="00D51F06"/>
    <w:rsid w:val="00D5209B"/>
    <w:rsid w:val="00D5324A"/>
    <w:rsid w:val="00D54061"/>
    <w:rsid w:val="00D55468"/>
    <w:rsid w:val="00D55BB1"/>
    <w:rsid w:val="00D55D85"/>
    <w:rsid w:val="00D56211"/>
    <w:rsid w:val="00D56453"/>
    <w:rsid w:val="00D57B6C"/>
    <w:rsid w:val="00D57E75"/>
    <w:rsid w:val="00D60B5A"/>
    <w:rsid w:val="00D60F7B"/>
    <w:rsid w:val="00D613AB"/>
    <w:rsid w:val="00D61B6D"/>
    <w:rsid w:val="00D6236B"/>
    <w:rsid w:val="00D6249E"/>
    <w:rsid w:val="00D629F3"/>
    <w:rsid w:val="00D62EC9"/>
    <w:rsid w:val="00D63B1F"/>
    <w:rsid w:val="00D64D0C"/>
    <w:rsid w:val="00D64D83"/>
    <w:rsid w:val="00D65AC2"/>
    <w:rsid w:val="00D67516"/>
    <w:rsid w:val="00D678ED"/>
    <w:rsid w:val="00D713E0"/>
    <w:rsid w:val="00D716E8"/>
    <w:rsid w:val="00D71E90"/>
    <w:rsid w:val="00D722D3"/>
    <w:rsid w:val="00D73B61"/>
    <w:rsid w:val="00D73EDE"/>
    <w:rsid w:val="00D73FF0"/>
    <w:rsid w:val="00D74DC5"/>
    <w:rsid w:val="00D74EE8"/>
    <w:rsid w:val="00D75D87"/>
    <w:rsid w:val="00D75DE3"/>
    <w:rsid w:val="00D762AD"/>
    <w:rsid w:val="00D76E6A"/>
    <w:rsid w:val="00D77A98"/>
    <w:rsid w:val="00D80446"/>
    <w:rsid w:val="00D82306"/>
    <w:rsid w:val="00D82327"/>
    <w:rsid w:val="00D82AFD"/>
    <w:rsid w:val="00D83CF4"/>
    <w:rsid w:val="00D84240"/>
    <w:rsid w:val="00D872AC"/>
    <w:rsid w:val="00D875B3"/>
    <w:rsid w:val="00D8792A"/>
    <w:rsid w:val="00D916DE"/>
    <w:rsid w:val="00D917CF"/>
    <w:rsid w:val="00D91E6F"/>
    <w:rsid w:val="00D92E2A"/>
    <w:rsid w:val="00D938B8"/>
    <w:rsid w:val="00D94A0E"/>
    <w:rsid w:val="00D95691"/>
    <w:rsid w:val="00D958F3"/>
    <w:rsid w:val="00D95A7F"/>
    <w:rsid w:val="00D95CB4"/>
    <w:rsid w:val="00D95CD1"/>
    <w:rsid w:val="00D961FA"/>
    <w:rsid w:val="00D9643A"/>
    <w:rsid w:val="00D96827"/>
    <w:rsid w:val="00D96F22"/>
    <w:rsid w:val="00DA1C46"/>
    <w:rsid w:val="00DA28AB"/>
    <w:rsid w:val="00DA338D"/>
    <w:rsid w:val="00DA34A3"/>
    <w:rsid w:val="00DA4573"/>
    <w:rsid w:val="00DA4A75"/>
    <w:rsid w:val="00DA4F3A"/>
    <w:rsid w:val="00DA5782"/>
    <w:rsid w:val="00DA5E13"/>
    <w:rsid w:val="00DA6162"/>
    <w:rsid w:val="00DA69B0"/>
    <w:rsid w:val="00DA7296"/>
    <w:rsid w:val="00DB1423"/>
    <w:rsid w:val="00DB1DFD"/>
    <w:rsid w:val="00DB2487"/>
    <w:rsid w:val="00DB249B"/>
    <w:rsid w:val="00DB2C3C"/>
    <w:rsid w:val="00DB3879"/>
    <w:rsid w:val="00DB44CA"/>
    <w:rsid w:val="00DB4866"/>
    <w:rsid w:val="00DB6319"/>
    <w:rsid w:val="00DB6C57"/>
    <w:rsid w:val="00DB6E6F"/>
    <w:rsid w:val="00DB7594"/>
    <w:rsid w:val="00DB7F70"/>
    <w:rsid w:val="00DB7FA4"/>
    <w:rsid w:val="00DC01E4"/>
    <w:rsid w:val="00DC0E60"/>
    <w:rsid w:val="00DC10DD"/>
    <w:rsid w:val="00DC1F99"/>
    <w:rsid w:val="00DC279F"/>
    <w:rsid w:val="00DC2949"/>
    <w:rsid w:val="00DC660C"/>
    <w:rsid w:val="00DD03FC"/>
    <w:rsid w:val="00DD04DF"/>
    <w:rsid w:val="00DD0716"/>
    <w:rsid w:val="00DD17A0"/>
    <w:rsid w:val="00DD1D93"/>
    <w:rsid w:val="00DD21B3"/>
    <w:rsid w:val="00DD22D9"/>
    <w:rsid w:val="00DD22DD"/>
    <w:rsid w:val="00DD27A8"/>
    <w:rsid w:val="00DD2864"/>
    <w:rsid w:val="00DD32A0"/>
    <w:rsid w:val="00DD46AD"/>
    <w:rsid w:val="00DD5ABE"/>
    <w:rsid w:val="00DD5C4B"/>
    <w:rsid w:val="00DD5D02"/>
    <w:rsid w:val="00DD5DC4"/>
    <w:rsid w:val="00DD5F27"/>
    <w:rsid w:val="00DD6CDC"/>
    <w:rsid w:val="00DD6E58"/>
    <w:rsid w:val="00DD777E"/>
    <w:rsid w:val="00DE0C92"/>
    <w:rsid w:val="00DE1A35"/>
    <w:rsid w:val="00DE29CB"/>
    <w:rsid w:val="00DE2D04"/>
    <w:rsid w:val="00DE3580"/>
    <w:rsid w:val="00DE4808"/>
    <w:rsid w:val="00DE5862"/>
    <w:rsid w:val="00DE592B"/>
    <w:rsid w:val="00DE79A1"/>
    <w:rsid w:val="00DF2CB1"/>
    <w:rsid w:val="00DF388A"/>
    <w:rsid w:val="00DF4369"/>
    <w:rsid w:val="00DF5C89"/>
    <w:rsid w:val="00DF6455"/>
    <w:rsid w:val="00DF689C"/>
    <w:rsid w:val="00DF733C"/>
    <w:rsid w:val="00DF7B1C"/>
    <w:rsid w:val="00DF7C84"/>
    <w:rsid w:val="00E0051A"/>
    <w:rsid w:val="00E018C0"/>
    <w:rsid w:val="00E039BD"/>
    <w:rsid w:val="00E039D4"/>
    <w:rsid w:val="00E03A25"/>
    <w:rsid w:val="00E04516"/>
    <w:rsid w:val="00E07598"/>
    <w:rsid w:val="00E07599"/>
    <w:rsid w:val="00E07A71"/>
    <w:rsid w:val="00E07BB3"/>
    <w:rsid w:val="00E104B5"/>
    <w:rsid w:val="00E10C2A"/>
    <w:rsid w:val="00E10D48"/>
    <w:rsid w:val="00E10D97"/>
    <w:rsid w:val="00E13303"/>
    <w:rsid w:val="00E134D8"/>
    <w:rsid w:val="00E13C21"/>
    <w:rsid w:val="00E13E12"/>
    <w:rsid w:val="00E13E3B"/>
    <w:rsid w:val="00E14681"/>
    <w:rsid w:val="00E15554"/>
    <w:rsid w:val="00E16C2F"/>
    <w:rsid w:val="00E172F1"/>
    <w:rsid w:val="00E2071D"/>
    <w:rsid w:val="00E2196D"/>
    <w:rsid w:val="00E24EB2"/>
    <w:rsid w:val="00E257B3"/>
    <w:rsid w:val="00E259F2"/>
    <w:rsid w:val="00E26915"/>
    <w:rsid w:val="00E2770F"/>
    <w:rsid w:val="00E27B81"/>
    <w:rsid w:val="00E27DEA"/>
    <w:rsid w:val="00E30425"/>
    <w:rsid w:val="00E30743"/>
    <w:rsid w:val="00E30F94"/>
    <w:rsid w:val="00E3111C"/>
    <w:rsid w:val="00E32BB1"/>
    <w:rsid w:val="00E32CAB"/>
    <w:rsid w:val="00E34E3F"/>
    <w:rsid w:val="00E35632"/>
    <w:rsid w:val="00E37579"/>
    <w:rsid w:val="00E408CC"/>
    <w:rsid w:val="00E40C77"/>
    <w:rsid w:val="00E40D2B"/>
    <w:rsid w:val="00E41527"/>
    <w:rsid w:val="00E415B8"/>
    <w:rsid w:val="00E41E5F"/>
    <w:rsid w:val="00E43D0E"/>
    <w:rsid w:val="00E44884"/>
    <w:rsid w:val="00E505AA"/>
    <w:rsid w:val="00E51434"/>
    <w:rsid w:val="00E515CB"/>
    <w:rsid w:val="00E527F9"/>
    <w:rsid w:val="00E53157"/>
    <w:rsid w:val="00E53C47"/>
    <w:rsid w:val="00E54146"/>
    <w:rsid w:val="00E544EC"/>
    <w:rsid w:val="00E54625"/>
    <w:rsid w:val="00E54662"/>
    <w:rsid w:val="00E567B4"/>
    <w:rsid w:val="00E5712D"/>
    <w:rsid w:val="00E5717F"/>
    <w:rsid w:val="00E571AA"/>
    <w:rsid w:val="00E57706"/>
    <w:rsid w:val="00E612E3"/>
    <w:rsid w:val="00E618D8"/>
    <w:rsid w:val="00E62874"/>
    <w:rsid w:val="00E63130"/>
    <w:rsid w:val="00E639FF"/>
    <w:rsid w:val="00E64303"/>
    <w:rsid w:val="00E65998"/>
    <w:rsid w:val="00E67714"/>
    <w:rsid w:val="00E70294"/>
    <w:rsid w:val="00E7121A"/>
    <w:rsid w:val="00E71394"/>
    <w:rsid w:val="00E72405"/>
    <w:rsid w:val="00E733FA"/>
    <w:rsid w:val="00E73C85"/>
    <w:rsid w:val="00E73CAD"/>
    <w:rsid w:val="00E73FD4"/>
    <w:rsid w:val="00E743A5"/>
    <w:rsid w:val="00E74D26"/>
    <w:rsid w:val="00E75A76"/>
    <w:rsid w:val="00E75D62"/>
    <w:rsid w:val="00E76DAE"/>
    <w:rsid w:val="00E80164"/>
    <w:rsid w:val="00E81269"/>
    <w:rsid w:val="00E81347"/>
    <w:rsid w:val="00E820F1"/>
    <w:rsid w:val="00E8298C"/>
    <w:rsid w:val="00E8474B"/>
    <w:rsid w:val="00E864B8"/>
    <w:rsid w:val="00E870CD"/>
    <w:rsid w:val="00E877C8"/>
    <w:rsid w:val="00E87B2E"/>
    <w:rsid w:val="00E87F7B"/>
    <w:rsid w:val="00E9241E"/>
    <w:rsid w:val="00E92685"/>
    <w:rsid w:val="00E9352D"/>
    <w:rsid w:val="00E93647"/>
    <w:rsid w:val="00E940B9"/>
    <w:rsid w:val="00E941A3"/>
    <w:rsid w:val="00E94AE0"/>
    <w:rsid w:val="00E94CB2"/>
    <w:rsid w:val="00E94D88"/>
    <w:rsid w:val="00E95842"/>
    <w:rsid w:val="00E959CA"/>
    <w:rsid w:val="00E95BB6"/>
    <w:rsid w:val="00E96567"/>
    <w:rsid w:val="00E971FA"/>
    <w:rsid w:val="00E97995"/>
    <w:rsid w:val="00EA172A"/>
    <w:rsid w:val="00EA1D93"/>
    <w:rsid w:val="00EA2400"/>
    <w:rsid w:val="00EA2717"/>
    <w:rsid w:val="00EA3AEC"/>
    <w:rsid w:val="00EA42AA"/>
    <w:rsid w:val="00EA46E7"/>
    <w:rsid w:val="00EA4774"/>
    <w:rsid w:val="00EA4833"/>
    <w:rsid w:val="00EA4F53"/>
    <w:rsid w:val="00EA619B"/>
    <w:rsid w:val="00EA6278"/>
    <w:rsid w:val="00EA6DA4"/>
    <w:rsid w:val="00EA75ED"/>
    <w:rsid w:val="00EA774B"/>
    <w:rsid w:val="00EB1ED2"/>
    <w:rsid w:val="00EB44C7"/>
    <w:rsid w:val="00EB48BA"/>
    <w:rsid w:val="00EB5525"/>
    <w:rsid w:val="00EB5F05"/>
    <w:rsid w:val="00EB697C"/>
    <w:rsid w:val="00EC078C"/>
    <w:rsid w:val="00EC095C"/>
    <w:rsid w:val="00EC0E2D"/>
    <w:rsid w:val="00EC470F"/>
    <w:rsid w:val="00EC4F1E"/>
    <w:rsid w:val="00EC5D62"/>
    <w:rsid w:val="00EC6279"/>
    <w:rsid w:val="00EC65B7"/>
    <w:rsid w:val="00EC65CD"/>
    <w:rsid w:val="00EC7683"/>
    <w:rsid w:val="00ED1DD0"/>
    <w:rsid w:val="00ED2003"/>
    <w:rsid w:val="00ED22D9"/>
    <w:rsid w:val="00ED29D8"/>
    <w:rsid w:val="00ED32CF"/>
    <w:rsid w:val="00ED3621"/>
    <w:rsid w:val="00ED488E"/>
    <w:rsid w:val="00ED57CD"/>
    <w:rsid w:val="00ED7BEA"/>
    <w:rsid w:val="00ED7CA8"/>
    <w:rsid w:val="00EE0278"/>
    <w:rsid w:val="00EE09AE"/>
    <w:rsid w:val="00EE27E0"/>
    <w:rsid w:val="00EE4570"/>
    <w:rsid w:val="00EE4EE0"/>
    <w:rsid w:val="00EE5DBC"/>
    <w:rsid w:val="00EE5DC3"/>
    <w:rsid w:val="00EE637D"/>
    <w:rsid w:val="00EE6AA6"/>
    <w:rsid w:val="00EE6B68"/>
    <w:rsid w:val="00EE709B"/>
    <w:rsid w:val="00EE7786"/>
    <w:rsid w:val="00EE78C4"/>
    <w:rsid w:val="00EE7989"/>
    <w:rsid w:val="00EF0089"/>
    <w:rsid w:val="00EF05CD"/>
    <w:rsid w:val="00EF078F"/>
    <w:rsid w:val="00EF091F"/>
    <w:rsid w:val="00EF11D6"/>
    <w:rsid w:val="00EF17C9"/>
    <w:rsid w:val="00EF2F25"/>
    <w:rsid w:val="00EF3A71"/>
    <w:rsid w:val="00EF50D8"/>
    <w:rsid w:val="00EF61A2"/>
    <w:rsid w:val="00EF67E6"/>
    <w:rsid w:val="00F002FD"/>
    <w:rsid w:val="00F00AB5"/>
    <w:rsid w:val="00F014ED"/>
    <w:rsid w:val="00F0258E"/>
    <w:rsid w:val="00F02E67"/>
    <w:rsid w:val="00F0351C"/>
    <w:rsid w:val="00F04362"/>
    <w:rsid w:val="00F04576"/>
    <w:rsid w:val="00F045D5"/>
    <w:rsid w:val="00F04A40"/>
    <w:rsid w:val="00F05C0A"/>
    <w:rsid w:val="00F068B3"/>
    <w:rsid w:val="00F07ECD"/>
    <w:rsid w:val="00F100A6"/>
    <w:rsid w:val="00F104CE"/>
    <w:rsid w:val="00F10914"/>
    <w:rsid w:val="00F10CD1"/>
    <w:rsid w:val="00F10E8A"/>
    <w:rsid w:val="00F12067"/>
    <w:rsid w:val="00F133CC"/>
    <w:rsid w:val="00F13CB3"/>
    <w:rsid w:val="00F140BB"/>
    <w:rsid w:val="00F14E46"/>
    <w:rsid w:val="00F152BE"/>
    <w:rsid w:val="00F15578"/>
    <w:rsid w:val="00F15C10"/>
    <w:rsid w:val="00F16B0A"/>
    <w:rsid w:val="00F171D1"/>
    <w:rsid w:val="00F204EC"/>
    <w:rsid w:val="00F20B88"/>
    <w:rsid w:val="00F21D31"/>
    <w:rsid w:val="00F229BF"/>
    <w:rsid w:val="00F22EE7"/>
    <w:rsid w:val="00F23E41"/>
    <w:rsid w:val="00F244C1"/>
    <w:rsid w:val="00F248B2"/>
    <w:rsid w:val="00F2560F"/>
    <w:rsid w:val="00F25F2E"/>
    <w:rsid w:val="00F264AA"/>
    <w:rsid w:val="00F30110"/>
    <w:rsid w:val="00F30D9D"/>
    <w:rsid w:val="00F31017"/>
    <w:rsid w:val="00F31A7D"/>
    <w:rsid w:val="00F31FBF"/>
    <w:rsid w:val="00F352E6"/>
    <w:rsid w:val="00F36024"/>
    <w:rsid w:val="00F364F7"/>
    <w:rsid w:val="00F36F46"/>
    <w:rsid w:val="00F370CB"/>
    <w:rsid w:val="00F40032"/>
    <w:rsid w:val="00F40E6B"/>
    <w:rsid w:val="00F40EBD"/>
    <w:rsid w:val="00F40EC8"/>
    <w:rsid w:val="00F40ED5"/>
    <w:rsid w:val="00F41010"/>
    <w:rsid w:val="00F42B6C"/>
    <w:rsid w:val="00F435A4"/>
    <w:rsid w:val="00F43F86"/>
    <w:rsid w:val="00F443FF"/>
    <w:rsid w:val="00F44529"/>
    <w:rsid w:val="00F4511C"/>
    <w:rsid w:val="00F462EA"/>
    <w:rsid w:val="00F4638F"/>
    <w:rsid w:val="00F46A83"/>
    <w:rsid w:val="00F47502"/>
    <w:rsid w:val="00F508D8"/>
    <w:rsid w:val="00F51350"/>
    <w:rsid w:val="00F530D4"/>
    <w:rsid w:val="00F5317B"/>
    <w:rsid w:val="00F53B8A"/>
    <w:rsid w:val="00F55392"/>
    <w:rsid w:val="00F56B4E"/>
    <w:rsid w:val="00F6075F"/>
    <w:rsid w:val="00F608F3"/>
    <w:rsid w:val="00F60979"/>
    <w:rsid w:val="00F61303"/>
    <w:rsid w:val="00F6168B"/>
    <w:rsid w:val="00F618EC"/>
    <w:rsid w:val="00F61A03"/>
    <w:rsid w:val="00F61EEC"/>
    <w:rsid w:val="00F626FA"/>
    <w:rsid w:val="00F63D3D"/>
    <w:rsid w:val="00F651BC"/>
    <w:rsid w:val="00F65393"/>
    <w:rsid w:val="00F66828"/>
    <w:rsid w:val="00F67C48"/>
    <w:rsid w:val="00F70669"/>
    <w:rsid w:val="00F72BA3"/>
    <w:rsid w:val="00F74BEB"/>
    <w:rsid w:val="00F74CF9"/>
    <w:rsid w:val="00F7545C"/>
    <w:rsid w:val="00F75B95"/>
    <w:rsid w:val="00F75FF7"/>
    <w:rsid w:val="00F762BA"/>
    <w:rsid w:val="00F76FA1"/>
    <w:rsid w:val="00F776FD"/>
    <w:rsid w:val="00F77748"/>
    <w:rsid w:val="00F779B8"/>
    <w:rsid w:val="00F80052"/>
    <w:rsid w:val="00F81B2F"/>
    <w:rsid w:val="00F824B2"/>
    <w:rsid w:val="00F83C9B"/>
    <w:rsid w:val="00F840AA"/>
    <w:rsid w:val="00F85727"/>
    <w:rsid w:val="00F8613D"/>
    <w:rsid w:val="00F866CA"/>
    <w:rsid w:val="00F86715"/>
    <w:rsid w:val="00F8671D"/>
    <w:rsid w:val="00F86803"/>
    <w:rsid w:val="00F871B1"/>
    <w:rsid w:val="00F9294D"/>
    <w:rsid w:val="00F92E93"/>
    <w:rsid w:val="00F941A0"/>
    <w:rsid w:val="00F94BCA"/>
    <w:rsid w:val="00F95464"/>
    <w:rsid w:val="00F95A20"/>
    <w:rsid w:val="00F95C17"/>
    <w:rsid w:val="00F960BA"/>
    <w:rsid w:val="00F966EF"/>
    <w:rsid w:val="00F9692B"/>
    <w:rsid w:val="00F9769F"/>
    <w:rsid w:val="00F97DB2"/>
    <w:rsid w:val="00FA125A"/>
    <w:rsid w:val="00FA2FDC"/>
    <w:rsid w:val="00FA384A"/>
    <w:rsid w:val="00FA46D9"/>
    <w:rsid w:val="00FA4AA9"/>
    <w:rsid w:val="00FA5DA5"/>
    <w:rsid w:val="00FA618A"/>
    <w:rsid w:val="00FA622B"/>
    <w:rsid w:val="00FA7EA8"/>
    <w:rsid w:val="00FB02B8"/>
    <w:rsid w:val="00FB0BF7"/>
    <w:rsid w:val="00FB126C"/>
    <w:rsid w:val="00FB12D5"/>
    <w:rsid w:val="00FB1706"/>
    <w:rsid w:val="00FB174C"/>
    <w:rsid w:val="00FB2B29"/>
    <w:rsid w:val="00FB39BA"/>
    <w:rsid w:val="00FB430C"/>
    <w:rsid w:val="00FB454E"/>
    <w:rsid w:val="00FB46BC"/>
    <w:rsid w:val="00FB4E18"/>
    <w:rsid w:val="00FB5897"/>
    <w:rsid w:val="00FB617C"/>
    <w:rsid w:val="00FC0A6B"/>
    <w:rsid w:val="00FC168F"/>
    <w:rsid w:val="00FC1892"/>
    <w:rsid w:val="00FC1E57"/>
    <w:rsid w:val="00FC3BD1"/>
    <w:rsid w:val="00FC41E6"/>
    <w:rsid w:val="00FC4859"/>
    <w:rsid w:val="00FC4928"/>
    <w:rsid w:val="00FC5566"/>
    <w:rsid w:val="00FC5F3C"/>
    <w:rsid w:val="00FC5F45"/>
    <w:rsid w:val="00FC73F1"/>
    <w:rsid w:val="00FC7787"/>
    <w:rsid w:val="00FC7DDD"/>
    <w:rsid w:val="00FD0612"/>
    <w:rsid w:val="00FD12F1"/>
    <w:rsid w:val="00FD3C8F"/>
    <w:rsid w:val="00FD5069"/>
    <w:rsid w:val="00FD7247"/>
    <w:rsid w:val="00FD755E"/>
    <w:rsid w:val="00FD7659"/>
    <w:rsid w:val="00FE0414"/>
    <w:rsid w:val="00FE0F97"/>
    <w:rsid w:val="00FE13DA"/>
    <w:rsid w:val="00FE147F"/>
    <w:rsid w:val="00FE16E1"/>
    <w:rsid w:val="00FE1B59"/>
    <w:rsid w:val="00FE1C2A"/>
    <w:rsid w:val="00FE216C"/>
    <w:rsid w:val="00FE2839"/>
    <w:rsid w:val="00FE2DDE"/>
    <w:rsid w:val="00FE2EB2"/>
    <w:rsid w:val="00FE3565"/>
    <w:rsid w:val="00FE792C"/>
    <w:rsid w:val="00FE7B94"/>
    <w:rsid w:val="00FF01E1"/>
    <w:rsid w:val="00FF0761"/>
    <w:rsid w:val="00FF11F9"/>
    <w:rsid w:val="00FF1895"/>
    <w:rsid w:val="00FF1A35"/>
    <w:rsid w:val="00FF20C9"/>
    <w:rsid w:val="00FF2710"/>
    <w:rsid w:val="00FF2CC1"/>
    <w:rsid w:val="00FF30E3"/>
    <w:rsid w:val="00FF3A97"/>
    <w:rsid w:val="00FF5A11"/>
    <w:rsid w:val="00FF7BF9"/>
    <w:rsid w:val="00FF7EAD"/>
    <w:rsid w:val="1124680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E51BBD"/>
  <w15:docId w15:val="{6FF61A0C-00D6-4130-AEC1-9CF0A16E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uiPriority="0" w:unhideWhenUsed="1" w:qFormat="1"/>
    <w:lsdException w:name="heading 6" w:semiHidden="1"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qFormat="1"/>
    <w:lsdException w:name="header" w:uiPriority="0" w:qFormat="1"/>
    <w:lsdException w:name="footer" w:uiPriority="0"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qFormat="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iPriority="0" w:unhideWhenUsed="1" w:qFormat="1"/>
    <w:lsdException w:name="FollowedHyperlink"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qFormat="1"/>
    <w:lsdException w:name="No Spacing"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0" w:qFormat="1"/>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qFormat="1"/>
    <w:lsdException w:name="Medium Grid 1 Accent 1" w:uiPriority="67"/>
    <w:lsdException w:name="Medium Grid 2 Accent 1" w:uiPriority="68"/>
    <w:lsdException w:name="Medium Grid 3 Accent 1" w:uiPriority="0"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0"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0"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0"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0"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eastAsia="Calibri" w:hAnsi="Calibri" w:cs="Times New Roman"/>
      <w:sz w:val="22"/>
      <w:szCs w:val="22"/>
      <w:lang w:val="en-GB" w:eastAsia="en-US"/>
    </w:rPr>
  </w:style>
  <w:style w:type="paragraph" w:styleId="Heading1">
    <w:name w:val="heading 1"/>
    <w:basedOn w:val="Normal"/>
    <w:link w:val="Heading1Char"/>
    <w:qFormat/>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qFormat/>
    <w:pPr>
      <w:keepNext/>
      <w:keepLines/>
      <w:spacing w:before="40" w:after="0" w:line="276" w:lineRule="auto"/>
      <w:outlineLvl w:val="1"/>
    </w:pPr>
    <w:rPr>
      <w:rFonts w:ascii="Calibri Light" w:eastAsia="DengXian Light" w:hAnsi="Calibri Light" w:cs="SimSun"/>
      <w:color w:val="2E74B5"/>
      <w:sz w:val="26"/>
      <w:szCs w:val="26"/>
    </w:rPr>
  </w:style>
  <w:style w:type="paragraph" w:styleId="Heading3">
    <w:name w:val="heading 3"/>
    <w:basedOn w:val="Normal"/>
    <w:next w:val="Normal"/>
    <w:link w:val="Heading3Char"/>
    <w:qFormat/>
    <w:pPr>
      <w:keepNext/>
      <w:keepLines/>
      <w:spacing w:before="200" w:after="0" w:line="276" w:lineRule="auto"/>
      <w:outlineLvl w:val="2"/>
    </w:pPr>
    <w:rPr>
      <w:rFonts w:ascii="Cambria" w:eastAsia="SimSun" w:hAnsi="Cambria" w:cs="SimSun"/>
      <w:b/>
      <w:bCs/>
      <w:color w:val="4F81BD"/>
    </w:rPr>
  </w:style>
  <w:style w:type="paragraph" w:styleId="Heading4">
    <w:name w:val="heading 4"/>
    <w:basedOn w:val="Normal"/>
    <w:next w:val="Normal"/>
    <w:link w:val="Heading4Char"/>
    <w:unhideWhenUsed/>
    <w:qFormat/>
    <w:pPr>
      <w:keepNext/>
      <w:keepLines/>
      <w:spacing w:before="40" w:after="0" w:line="256" w:lineRule="auto"/>
      <w:ind w:left="2160"/>
      <w:outlineLvl w:val="3"/>
    </w:pPr>
    <w:rPr>
      <w:rFonts w:ascii="Cambria" w:eastAsia="Times New Roman" w:hAnsi="Cambria"/>
      <w:i/>
      <w:iCs/>
      <w:color w:val="365F91"/>
      <w:lang w:val="en-US"/>
    </w:rPr>
  </w:style>
  <w:style w:type="paragraph" w:styleId="Heading5">
    <w:name w:val="heading 5"/>
    <w:basedOn w:val="Normal"/>
    <w:next w:val="Normal"/>
    <w:link w:val="Heading5Char"/>
    <w:unhideWhenUsed/>
    <w:qFormat/>
    <w:pPr>
      <w:keepNext/>
      <w:keepLines/>
      <w:spacing w:before="40" w:after="0" w:line="256" w:lineRule="auto"/>
      <w:ind w:left="2880"/>
      <w:jc w:val="both"/>
      <w:outlineLvl w:val="4"/>
    </w:pPr>
    <w:rPr>
      <w:rFonts w:ascii="Cambria" w:eastAsia="Times New Roman" w:hAnsi="Cambria"/>
      <w:color w:val="365F91"/>
      <w:sz w:val="24"/>
      <w:szCs w:val="24"/>
    </w:rPr>
  </w:style>
  <w:style w:type="paragraph" w:styleId="Heading6">
    <w:name w:val="heading 6"/>
    <w:basedOn w:val="Normal"/>
    <w:next w:val="Normal"/>
    <w:link w:val="Heading6Char"/>
    <w:unhideWhenUsed/>
    <w:qFormat/>
    <w:pPr>
      <w:keepNext/>
      <w:keepLines/>
      <w:spacing w:before="40" w:after="0" w:line="256" w:lineRule="auto"/>
      <w:ind w:left="3600"/>
      <w:jc w:val="both"/>
      <w:outlineLvl w:val="5"/>
    </w:pPr>
    <w:rPr>
      <w:rFonts w:ascii="Cambria" w:eastAsia="Times New Roman" w:hAnsi="Cambria"/>
      <w:color w:val="243F60"/>
      <w:sz w:val="24"/>
      <w:szCs w:val="24"/>
    </w:rPr>
  </w:style>
  <w:style w:type="paragraph" w:styleId="Heading7">
    <w:name w:val="heading 7"/>
    <w:basedOn w:val="Normal"/>
    <w:next w:val="Normal"/>
    <w:link w:val="Heading7Char"/>
    <w:unhideWhenUsed/>
    <w:qFormat/>
    <w:pPr>
      <w:keepNext/>
      <w:keepLines/>
      <w:spacing w:before="40" w:after="0" w:line="256" w:lineRule="auto"/>
      <w:ind w:left="4320"/>
      <w:jc w:val="both"/>
      <w:outlineLvl w:val="6"/>
    </w:pPr>
    <w:rPr>
      <w:rFonts w:ascii="Cambria" w:eastAsia="Times New Roman" w:hAnsi="Cambria"/>
      <w:i/>
      <w:iCs/>
      <w:color w:val="243F60"/>
      <w:sz w:val="24"/>
      <w:szCs w:val="24"/>
    </w:rPr>
  </w:style>
  <w:style w:type="paragraph" w:styleId="Heading8">
    <w:name w:val="heading 8"/>
    <w:basedOn w:val="Normal"/>
    <w:next w:val="Normal"/>
    <w:link w:val="Heading8Char"/>
    <w:unhideWhenUsed/>
    <w:qFormat/>
    <w:pPr>
      <w:keepNext/>
      <w:keepLines/>
      <w:spacing w:before="40" w:after="0" w:line="256" w:lineRule="auto"/>
      <w:ind w:left="5040"/>
      <w:jc w:val="both"/>
      <w:outlineLvl w:val="7"/>
    </w:pPr>
    <w:rPr>
      <w:rFonts w:ascii="Cambria" w:eastAsia="Times New Roman" w:hAnsi="Cambria"/>
      <w:color w:val="272727"/>
      <w:sz w:val="21"/>
      <w:szCs w:val="21"/>
    </w:rPr>
  </w:style>
  <w:style w:type="paragraph" w:styleId="Heading9">
    <w:name w:val="heading 9"/>
    <w:basedOn w:val="Normal"/>
    <w:next w:val="Normal"/>
    <w:link w:val="Heading9Char"/>
    <w:unhideWhenUsed/>
    <w:qFormat/>
    <w:pPr>
      <w:keepNext/>
      <w:keepLines/>
      <w:spacing w:before="40" w:after="0" w:line="256" w:lineRule="auto"/>
      <w:ind w:left="5760"/>
      <w:jc w:val="both"/>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Segoe UI" w:eastAsia="SimSun" w:hAnsi="Segoe UI" w:cs="Segoe UI"/>
      <w:sz w:val="18"/>
      <w:szCs w:val="18"/>
    </w:rPr>
  </w:style>
  <w:style w:type="paragraph" w:styleId="BodyText">
    <w:name w:val="Body Text"/>
    <w:basedOn w:val="Normal"/>
    <w:link w:val="BodyTextChar"/>
    <w:uiPriority w:val="1"/>
    <w:qFormat/>
    <w:pPr>
      <w:widowControl w:val="0"/>
      <w:autoSpaceDE w:val="0"/>
      <w:autoSpaceDN w:val="0"/>
      <w:adjustRightInd w:val="0"/>
      <w:spacing w:after="0" w:line="240" w:lineRule="auto"/>
      <w:ind w:left="119"/>
    </w:pPr>
    <w:rPr>
      <w:rFonts w:ascii="Georgia" w:eastAsia="Times New Roman" w:hAnsi="Georgia" w:cs="Georgia"/>
      <w:sz w:val="20"/>
      <w:szCs w:val="20"/>
      <w:lang w:eastAsia="ja-JP"/>
    </w:rPr>
  </w:style>
  <w:style w:type="paragraph" w:styleId="BodyTextIndent3">
    <w:name w:val="Body Text Indent 3"/>
    <w:basedOn w:val="Normal"/>
    <w:link w:val="BodyTextIndent3Char"/>
    <w:qFormat/>
    <w:pPr>
      <w:spacing w:after="120" w:line="240" w:lineRule="auto"/>
      <w:ind w:left="283"/>
    </w:pPr>
    <w:rPr>
      <w:rFonts w:ascii="Times New Roman" w:eastAsia="Times New Roman" w:hAnsi="Times New Roman"/>
      <w:sz w:val="16"/>
      <w:szCs w:val="16"/>
      <w:lang w:val="zh-CN" w:eastAsia="zh-CN"/>
    </w:rPr>
  </w:style>
  <w:style w:type="paragraph" w:styleId="Caption">
    <w:name w:val="caption"/>
    <w:basedOn w:val="Normal"/>
    <w:next w:val="Normal"/>
    <w:autoRedefine/>
    <w:uiPriority w:val="35"/>
    <w:unhideWhenUsed/>
    <w:qFormat/>
    <w:pPr>
      <w:spacing w:after="0" w:line="240" w:lineRule="auto"/>
    </w:pPr>
    <w:rPr>
      <w:rFonts w:ascii="Times New Roman" w:eastAsiaTheme="minorHAnsi" w:hAnsi="Times New Roman" w:cstheme="minorBidi"/>
      <w:b/>
      <w:bCs/>
      <w:i/>
      <w:iCs/>
      <w:sz w:val="24"/>
      <w:szCs w:val="18"/>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pPr>
      <w:spacing w:line="240" w:lineRule="auto"/>
    </w:pPr>
    <w:rPr>
      <w:rFonts w:eastAsia="SimSun" w:cs="SimSun"/>
      <w:sz w:val="20"/>
      <w:szCs w:val="20"/>
    </w:rPr>
  </w:style>
  <w:style w:type="paragraph" w:styleId="CommentSubject">
    <w:name w:val="annotation subject"/>
    <w:basedOn w:val="CommentText"/>
    <w:next w:val="CommentText"/>
    <w:link w:val="CommentSubjectChar"/>
    <w:uiPriority w:val="99"/>
    <w:qFormat/>
    <w:rPr>
      <w:b/>
      <w:bCs/>
    </w:rPr>
  </w:style>
  <w:style w:type="paragraph" w:styleId="DocumentMap">
    <w:name w:val="Document Map"/>
    <w:basedOn w:val="Normal"/>
    <w:link w:val="DocumentMapChar"/>
    <w:uiPriority w:val="99"/>
    <w:semiHidden/>
    <w:unhideWhenUsed/>
    <w:qFormat/>
    <w:pPr>
      <w:spacing w:after="0" w:line="240" w:lineRule="auto"/>
    </w:pPr>
    <w:rPr>
      <w:rFonts w:ascii="Tahoma" w:eastAsiaTheme="minorHAnsi" w:hAnsi="Tahoma" w:cs="Tahoma"/>
      <w:sz w:val="16"/>
      <w:szCs w:val="16"/>
    </w:rPr>
  </w:style>
  <w:style w:type="character" w:styleId="Emphasis">
    <w:name w:val="Emphasis"/>
    <w:uiPriority w:val="20"/>
    <w:qFormat/>
    <w:rPr>
      <w:i/>
      <w:iCs/>
    </w:rPr>
  </w:style>
  <w:style w:type="character" w:styleId="FollowedHyperlink">
    <w:name w:val="FollowedHyperlink"/>
    <w:uiPriority w:val="99"/>
    <w:qFormat/>
    <w:rPr>
      <w:color w:val="954F72"/>
      <w:u w:val="single"/>
    </w:rPr>
  </w:style>
  <w:style w:type="paragraph" w:styleId="Footer">
    <w:name w:val="footer"/>
    <w:basedOn w:val="Normal"/>
    <w:link w:val="FooterChar"/>
    <w:qFormat/>
    <w:pPr>
      <w:tabs>
        <w:tab w:val="center" w:pos="4680"/>
        <w:tab w:val="right" w:pos="9360"/>
      </w:tabs>
      <w:spacing w:after="0" w:line="240" w:lineRule="auto"/>
      <w:jc w:val="both"/>
    </w:pPr>
    <w:rPr>
      <w:rFonts w:ascii="Times New Roman" w:hAnsi="Times New Roman" w:cs="SimSun"/>
      <w:sz w:val="24"/>
    </w:rPr>
  </w:style>
  <w:style w:type="paragraph" w:styleId="Header">
    <w:name w:val="header"/>
    <w:basedOn w:val="Normal"/>
    <w:link w:val="HeaderChar"/>
    <w:qFormat/>
    <w:pPr>
      <w:tabs>
        <w:tab w:val="center" w:pos="4680"/>
        <w:tab w:val="right" w:pos="9360"/>
      </w:tabs>
      <w:spacing w:after="0" w:line="240" w:lineRule="auto"/>
      <w:jc w:val="both"/>
    </w:pPr>
    <w:rPr>
      <w:rFonts w:ascii="Times New Roman" w:hAnsi="Times New Roman" w:cs="SimSun"/>
      <w:sz w:val="24"/>
    </w:rPr>
  </w:style>
  <w:style w:type="character" w:styleId="HTMLCite">
    <w:name w:val="HTML Cite"/>
    <w:uiPriority w:val="99"/>
    <w:qFormat/>
    <w:rPr>
      <w:i/>
      <w:iCs/>
    </w:rPr>
  </w:style>
  <w:style w:type="character" w:styleId="Hyperlink">
    <w:name w:val="Hyperlink"/>
    <w:unhideWhenUsed/>
    <w:qFormat/>
    <w:rPr>
      <w:color w:val="0563C1"/>
      <w:u w:val="single"/>
    </w:rPr>
  </w:style>
  <w:style w:type="character" w:styleId="LineNumber">
    <w:name w:val="line number"/>
    <w:basedOn w:val="DefaultParagraphFont"/>
    <w:uiPriority w:val="99"/>
    <w:semiHidden/>
    <w:unhideWhenUsed/>
    <w:qFormat/>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rPr>
  </w:style>
  <w:style w:type="character" w:styleId="PageNumber">
    <w:name w:val="page number"/>
    <w:basedOn w:val="DefaultParagraphFont"/>
    <w:uiPriority w:val="99"/>
    <w:unhideWhenUsed/>
    <w:qFormat/>
  </w:style>
  <w:style w:type="character" w:styleId="Strong">
    <w:name w:val="Strong"/>
    <w:uiPriority w:val="22"/>
    <w:qFormat/>
    <w:rPr>
      <w:b/>
      <w:bCs/>
    </w:rPr>
  </w:style>
  <w:style w:type="paragraph" w:styleId="Subtitle">
    <w:name w:val="Subtitle"/>
    <w:basedOn w:val="Normal"/>
    <w:next w:val="Normal"/>
    <w:link w:val="SubtitleChar"/>
    <w:qFormat/>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table" w:styleId="TableGrid">
    <w:name w:val="Table Grid"/>
    <w:basedOn w:val="TableNormal"/>
    <w:uiPriority w:val="39"/>
    <w:qFormat/>
    <w:rPr>
      <w:rFonts w:ascii="Calibri" w:eastAsia="Calibri" w:hAnsi="Calibri" w:cs="SimSu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qFormat/>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paragraph" w:styleId="TOC1">
    <w:name w:val="toc 1"/>
    <w:basedOn w:val="Normal"/>
    <w:next w:val="Normal"/>
    <w:uiPriority w:val="39"/>
    <w:qFormat/>
    <w:pPr>
      <w:tabs>
        <w:tab w:val="right" w:pos="8817"/>
      </w:tabs>
      <w:spacing w:after="100" w:line="276" w:lineRule="auto"/>
      <w:jc w:val="both"/>
    </w:pPr>
    <w:rPr>
      <w:rFonts w:ascii="Times New Roman" w:eastAsia="SimSun" w:hAnsi="Times New Roman"/>
      <w:sz w:val="24"/>
      <w:szCs w:val="24"/>
      <w:lang w:val="en-US" w:eastAsia="zh-CN"/>
    </w:rPr>
  </w:style>
  <w:style w:type="paragraph" w:styleId="TOC2">
    <w:name w:val="toc 2"/>
    <w:basedOn w:val="Normal"/>
    <w:next w:val="Normal"/>
    <w:autoRedefine/>
    <w:uiPriority w:val="39"/>
    <w:unhideWhenUsed/>
    <w:qFormat/>
    <w:pPr>
      <w:spacing w:after="100" w:line="276" w:lineRule="auto"/>
      <w:ind w:left="220"/>
    </w:pPr>
    <w:rPr>
      <w:rFonts w:eastAsia="Times New Roman"/>
    </w:rPr>
  </w:style>
  <w:style w:type="paragraph" w:styleId="TOC3">
    <w:name w:val="toc 3"/>
    <w:basedOn w:val="Normal"/>
    <w:next w:val="Normal"/>
    <w:autoRedefine/>
    <w:uiPriority w:val="39"/>
    <w:unhideWhenUsed/>
    <w:qFormat/>
    <w:pPr>
      <w:spacing w:after="100" w:line="276" w:lineRule="auto"/>
      <w:ind w:left="440"/>
    </w:pPr>
    <w:rPr>
      <w:rFonts w:eastAsia="Times New Roman"/>
    </w:rPr>
  </w:style>
  <w:style w:type="paragraph" w:styleId="TOC4">
    <w:name w:val="toc 4"/>
    <w:basedOn w:val="Normal"/>
    <w:next w:val="Normal"/>
    <w:autoRedefine/>
    <w:uiPriority w:val="39"/>
    <w:unhideWhenUsed/>
    <w:qFormat/>
    <w:pPr>
      <w:spacing w:after="100" w:line="276" w:lineRule="auto"/>
      <w:ind w:left="660"/>
    </w:pPr>
    <w:rPr>
      <w:rFonts w:eastAsia="Times New Roman"/>
    </w:rPr>
  </w:style>
  <w:style w:type="paragraph" w:styleId="TOC5">
    <w:name w:val="toc 5"/>
    <w:basedOn w:val="Normal"/>
    <w:next w:val="Normal"/>
    <w:autoRedefine/>
    <w:uiPriority w:val="39"/>
    <w:unhideWhenUsed/>
    <w:qFormat/>
    <w:pPr>
      <w:spacing w:after="100" w:line="276" w:lineRule="auto"/>
      <w:ind w:left="880"/>
    </w:pPr>
    <w:rPr>
      <w:rFonts w:eastAsia="Times New Roman"/>
    </w:rPr>
  </w:style>
  <w:style w:type="paragraph" w:styleId="TOC6">
    <w:name w:val="toc 6"/>
    <w:basedOn w:val="Normal"/>
    <w:next w:val="Normal"/>
    <w:autoRedefine/>
    <w:uiPriority w:val="39"/>
    <w:unhideWhenUsed/>
    <w:qFormat/>
    <w:pPr>
      <w:spacing w:after="100" w:line="276" w:lineRule="auto"/>
      <w:ind w:left="1100"/>
    </w:pPr>
    <w:rPr>
      <w:rFonts w:eastAsia="Times New Roman"/>
    </w:rPr>
  </w:style>
  <w:style w:type="paragraph" w:styleId="TOC7">
    <w:name w:val="toc 7"/>
    <w:basedOn w:val="Normal"/>
    <w:next w:val="Normal"/>
    <w:autoRedefine/>
    <w:uiPriority w:val="39"/>
    <w:unhideWhenUsed/>
    <w:qFormat/>
    <w:pPr>
      <w:spacing w:after="100" w:line="276" w:lineRule="auto"/>
      <w:ind w:left="1320"/>
    </w:pPr>
    <w:rPr>
      <w:rFonts w:eastAsia="Times New Roman"/>
    </w:rPr>
  </w:style>
  <w:style w:type="paragraph" w:styleId="TOC8">
    <w:name w:val="toc 8"/>
    <w:basedOn w:val="Normal"/>
    <w:next w:val="Normal"/>
    <w:autoRedefine/>
    <w:uiPriority w:val="39"/>
    <w:unhideWhenUsed/>
    <w:qFormat/>
    <w:pPr>
      <w:spacing w:after="100" w:line="276" w:lineRule="auto"/>
      <w:ind w:left="1540"/>
    </w:pPr>
    <w:rPr>
      <w:rFonts w:eastAsia="Times New Roman"/>
    </w:rPr>
  </w:style>
  <w:style w:type="paragraph" w:styleId="TOC9">
    <w:name w:val="toc 9"/>
    <w:basedOn w:val="Normal"/>
    <w:next w:val="Normal"/>
    <w:autoRedefine/>
    <w:uiPriority w:val="39"/>
    <w:unhideWhenUsed/>
    <w:qFormat/>
    <w:pPr>
      <w:spacing w:after="100" w:line="276" w:lineRule="auto"/>
      <w:ind w:left="1760"/>
    </w:pPr>
    <w:rPr>
      <w:rFonts w:eastAsia="Times New Roman"/>
    </w:rPr>
  </w:style>
  <w:style w:type="table" w:styleId="LightShading">
    <w:name w:val="Light Shading"/>
    <w:basedOn w:val="TableNormal"/>
    <w:uiPriority w:val="60"/>
    <w:unhideWhenUsed/>
    <w:qFormat/>
    <w:rPr>
      <w:rFonts w:ascii="Calibri" w:eastAsia="Calibri" w:hAnsi="Calibri" w:cs="Times New Roman"/>
      <w:color w:val="000000"/>
      <w:lang w:eastAsia="en-GB"/>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unhideWhenUsed/>
    <w:rPr>
      <w:color w:val="2E74B5" w:themeColor="accent1" w:themeShade="BF"/>
    </w:rPr>
    <w:tblPr>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unhideWhenUsed/>
    <w:qFormat/>
    <w:rPr>
      <w:rFonts w:ascii="Calibri" w:eastAsia="Calibri" w:hAnsi="Calibri" w:cs="Times New Roman"/>
      <w:color w:val="C45911" w:themeColor="accent2" w:themeShade="BF"/>
      <w:lang w:eastAsia="en-GB"/>
    </w:rPr>
    <w:tblPr>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Pr>
      <w:rFonts w:ascii="Calibri" w:eastAsia="Calibri" w:hAnsi="Calibri" w:cs="SimSun"/>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Pr>
      <w:rFonts w:ascii="Calibri" w:eastAsia="Calibri" w:hAnsi="Calibri" w:cs="SimSun"/>
      <w:color w:val="BF8F00" w:themeColor="accent4" w:themeShade="BF"/>
    </w:rPr>
    <w:tblPr>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MediumShading2">
    <w:name w:val="Medium Shading 2"/>
    <w:basedOn w:val="TableNormal"/>
    <w:uiPriority w:val="64"/>
    <w:rPr>
      <w:rFonts w:ascii="Calibri" w:eastAsia="Calibri" w:hAnsi="Calibri" w:cs="SimSun"/>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Pr>
      <w:rFonts w:ascii="Calibri" w:eastAsia="Calibri" w:hAnsi="Calibri" w:cs="SimSun"/>
    </w:rPr>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rPr>
      <w:rFonts w:ascii="Calibri" w:eastAsia="Calibri" w:hAnsi="Calibri" w:cs="SimSun"/>
      <w:color w:val="000000" w:themeColor="text1"/>
    </w:rPr>
    <w:tblPr>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2-Accent1">
    <w:name w:val="Medium List 2 Accent 1"/>
    <w:basedOn w:val="TableNormal"/>
    <w:uiPriority w:val="66"/>
    <w:qFormat/>
    <w:rPr>
      <w:rFonts w:ascii="Calibri Light" w:eastAsia="Times New Roman" w:hAnsi="Calibri Light" w:cs="Times New Roman"/>
      <w:color w:val="000000"/>
    </w:rPr>
    <w:tblPr>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Grid3">
    <w:name w:val="Medium Grid 3"/>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808080"/>
      </w:tcPr>
    </w:tblStylePr>
  </w:style>
  <w:style w:type="table" w:styleId="MediumGrid3-Accent1">
    <w:name w:val="Medium Grid 3 Accent 1"/>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table" w:styleId="MediumGrid3-Accent2">
    <w:name w:val="Medium Grid 3 Accent 2"/>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DFA7A6"/>
      </w:tcPr>
    </w:tblStylePr>
  </w:style>
  <w:style w:type="table" w:styleId="MediumGrid3-Accent3">
    <w:name w:val="Medium Grid 3 Accent 3"/>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CDDDAC"/>
      </w:tcPr>
    </w:tblStylePr>
  </w:style>
  <w:style w:type="table" w:styleId="MediumGrid3-Accent4">
    <w:name w:val="Medium Grid 3 Accent 4"/>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BFB1D0"/>
      </w:tcPr>
    </w:tblStylePr>
  </w:style>
  <w:style w:type="table" w:styleId="MediumGrid3-Accent5">
    <w:name w:val="Medium Grid 3 Accent 5"/>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5D5E2"/>
      </w:tcPr>
    </w:tblStylePr>
  </w:style>
  <w:style w:type="table" w:styleId="MediumGrid3-Accent6">
    <w:name w:val="Medium Grid 3 Accent 6"/>
    <w:basedOn w:val="TableNormal"/>
    <w:qFormat/>
    <w:pPr>
      <w:spacing w:after="200" w:line="276" w:lineRule="auto"/>
    </w:pPr>
    <w:rPr>
      <w:rFonts w:ascii="Calibri" w:eastAsia="SimSun" w:hAnsi="Calibri" w:cs="SimSun"/>
      <w:lang w:eastAsia="en-GB"/>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FBCAA2"/>
      </w:tcPr>
    </w:tblStylePr>
  </w:style>
  <w:style w:type="character" w:customStyle="1" w:styleId="Heading1Char">
    <w:name w:val="Heading 1 Char"/>
    <w:basedOn w:val="DefaultParagraphFont"/>
    <w:link w:val="Heading1"/>
    <w:qFormat/>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qFormat/>
    <w:rPr>
      <w:rFonts w:ascii="Calibri Light" w:eastAsia="DengXian Light" w:hAnsi="Calibri Light" w:cs="SimSun"/>
      <w:color w:val="2E74B5"/>
      <w:sz w:val="26"/>
      <w:szCs w:val="26"/>
    </w:rPr>
  </w:style>
  <w:style w:type="character" w:customStyle="1" w:styleId="Heading3Char">
    <w:name w:val="Heading 3 Char"/>
    <w:basedOn w:val="DefaultParagraphFont"/>
    <w:link w:val="Heading3"/>
    <w:qFormat/>
    <w:rPr>
      <w:rFonts w:ascii="Cambria" w:eastAsia="SimSun" w:hAnsi="Cambria" w:cs="SimSun"/>
      <w:b/>
      <w:bCs/>
      <w:color w:val="4F81BD"/>
    </w:rPr>
  </w:style>
  <w:style w:type="character" w:customStyle="1" w:styleId="Heading4Char">
    <w:name w:val="Heading 4 Char"/>
    <w:basedOn w:val="DefaultParagraphFont"/>
    <w:link w:val="Heading4"/>
    <w:qFormat/>
    <w:rPr>
      <w:rFonts w:ascii="Cambria" w:eastAsia="Times New Roman" w:hAnsi="Cambria" w:cs="Times New Roman"/>
      <w:i/>
      <w:iCs/>
      <w:color w:val="365F91"/>
      <w:lang w:val="en-US"/>
    </w:rPr>
  </w:style>
  <w:style w:type="character" w:customStyle="1" w:styleId="Heading5Char">
    <w:name w:val="Heading 5 Char"/>
    <w:basedOn w:val="DefaultParagraphFont"/>
    <w:link w:val="Heading5"/>
    <w:qFormat/>
    <w:rPr>
      <w:rFonts w:ascii="Cambria" w:eastAsia="Times New Roman" w:hAnsi="Cambria" w:cs="Times New Roman"/>
      <w:color w:val="365F91"/>
      <w:sz w:val="24"/>
      <w:szCs w:val="24"/>
    </w:rPr>
  </w:style>
  <w:style w:type="character" w:customStyle="1" w:styleId="Heading6Char">
    <w:name w:val="Heading 6 Char"/>
    <w:basedOn w:val="DefaultParagraphFont"/>
    <w:link w:val="Heading6"/>
    <w:qFormat/>
    <w:rPr>
      <w:rFonts w:ascii="Cambria" w:eastAsia="Times New Roman" w:hAnsi="Cambria" w:cs="Times New Roman"/>
      <w:color w:val="243F60"/>
      <w:sz w:val="24"/>
      <w:szCs w:val="24"/>
    </w:rPr>
  </w:style>
  <w:style w:type="character" w:customStyle="1" w:styleId="Heading7Char">
    <w:name w:val="Heading 7 Char"/>
    <w:basedOn w:val="DefaultParagraphFont"/>
    <w:link w:val="Heading7"/>
    <w:qFormat/>
    <w:rPr>
      <w:rFonts w:ascii="Cambria" w:eastAsia="Times New Roman" w:hAnsi="Cambria" w:cs="Times New Roman"/>
      <w:i/>
      <w:iCs/>
      <w:color w:val="243F60"/>
      <w:sz w:val="24"/>
      <w:szCs w:val="24"/>
    </w:rPr>
  </w:style>
  <w:style w:type="character" w:customStyle="1" w:styleId="Heading8Char">
    <w:name w:val="Heading 8 Char"/>
    <w:basedOn w:val="DefaultParagraphFont"/>
    <w:link w:val="Heading8"/>
    <w:qFormat/>
    <w:rPr>
      <w:rFonts w:ascii="Cambria" w:eastAsia="Times New Roman" w:hAnsi="Cambria" w:cs="Times New Roman"/>
      <w:color w:val="272727"/>
      <w:sz w:val="21"/>
      <w:szCs w:val="21"/>
    </w:rPr>
  </w:style>
  <w:style w:type="character" w:customStyle="1" w:styleId="Heading9Char">
    <w:name w:val="Heading 9 Char"/>
    <w:basedOn w:val="DefaultParagraphFont"/>
    <w:link w:val="Heading9"/>
    <w:qFormat/>
    <w:rPr>
      <w:rFonts w:ascii="Cambria" w:eastAsia="Times New Roman" w:hAnsi="Cambria" w:cs="Times New Roman"/>
      <w:i/>
      <w:iCs/>
      <w:color w:val="272727"/>
      <w:sz w:val="21"/>
      <w:szCs w:val="21"/>
    </w:rPr>
  </w:style>
  <w:style w:type="character" w:customStyle="1" w:styleId="UnresolvedMention1">
    <w:name w:val="Unresolved Mention1"/>
    <w:unhideWhenUsed/>
    <w:qFormat/>
    <w:rPr>
      <w:color w:val="605E5C"/>
      <w:shd w:val="clear" w:color="auto" w:fill="E1DFDD"/>
    </w:rPr>
  </w:style>
  <w:style w:type="character" w:customStyle="1" w:styleId="FooterChar">
    <w:name w:val="Footer Char"/>
    <w:basedOn w:val="DefaultParagraphFont"/>
    <w:link w:val="Footer"/>
    <w:qFormat/>
    <w:rPr>
      <w:rFonts w:ascii="Times New Roman" w:eastAsia="Calibri" w:hAnsi="Times New Roman" w:cs="SimSun"/>
      <w:sz w:val="24"/>
    </w:rPr>
  </w:style>
  <w:style w:type="paragraph" w:styleId="ListParagraph">
    <w:name w:val="List Paragraph"/>
    <w:basedOn w:val="Normal"/>
    <w:link w:val="ListParagraphChar"/>
    <w:qFormat/>
    <w:pPr>
      <w:ind w:left="720"/>
      <w:contextualSpacing/>
    </w:pPr>
  </w:style>
  <w:style w:type="character" w:customStyle="1" w:styleId="ListParagraphChar">
    <w:name w:val="List Paragraph Char"/>
    <w:link w:val="ListParagraph"/>
    <w:uiPriority w:val="34"/>
    <w:qFormat/>
    <w:rPr>
      <w:rFonts w:ascii="Calibri" w:eastAsia="Calibri" w:hAnsi="Calibri" w:cs="Times New Roman"/>
    </w:rPr>
  </w:style>
  <w:style w:type="character" w:customStyle="1" w:styleId="apple-converted-space">
    <w:name w:val="apple-converted-space"/>
  </w:style>
  <w:style w:type="character" w:customStyle="1" w:styleId="element-citation">
    <w:name w:val="element-citation"/>
  </w:style>
  <w:style w:type="character" w:customStyle="1" w:styleId="mixed-citation">
    <w:name w:val="mixed-citation"/>
    <w:qFormat/>
  </w:style>
  <w:style w:type="table" w:customStyle="1" w:styleId="ListTable6Colorful1">
    <w:name w:val="List Table 6 Colorful1"/>
    <w:basedOn w:val="TableNormal"/>
    <w:uiPriority w:val="51"/>
    <w:qFormat/>
    <w:rPr>
      <w:rFonts w:ascii="Calibri" w:eastAsia="SimSun" w:hAnsi="Calibri" w:cs="SimSun"/>
      <w:color w:val="000000"/>
      <w:lang w:eastAsia="en-GB"/>
    </w:rPr>
    <w:tblPr>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erChar">
    <w:name w:val="Header Char"/>
    <w:basedOn w:val="DefaultParagraphFont"/>
    <w:link w:val="Header"/>
    <w:qFormat/>
    <w:rPr>
      <w:rFonts w:ascii="Times New Roman" w:eastAsia="Calibri" w:hAnsi="Times New Roman" w:cs="SimSun"/>
      <w:sz w:val="24"/>
    </w:rPr>
  </w:style>
  <w:style w:type="paragraph" w:customStyle="1" w:styleId="svarticle">
    <w:name w:val="svarticle"/>
    <w:basedOn w:val="Normal"/>
    <w:qFormat/>
    <w:pPr>
      <w:spacing w:before="100" w:beforeAutospacing="1" w:after="100" w:afterAutospacing="1" w:line="240" w:lineRule="auto"/>
    </w:pPr>
    <w:rPr>
      <w:rFonts w:ascii="Times New Roman" w:eastAsia="Times New Roman" w:hAnsi="Times New Roman"/>
      <w:sz w:val="24"/>
      <w:szCs w:val="24"/>
    </w:rPr>
  </w:style>
  <w:style w:type="paragraph" w:customStyle="1" w:styleId="headinganchor2">
    <w:name w:val="headinganchor2"/>
    <w:basedOn w:val="Normal"/>
    <w:qFormat/>
    <w:pPr>
      <w:spacing w:before="100" w:beforeAutospacing="1" w:after="100" w:afterAutospacing="1" w:line="240" w:lineRule="auto"/>
    </w:pPr>
    <w:rPr>
      <w:rFonts w:ascii="Times New Roman" w:eastAsia="Times New Roman" w:hAnsi="Times New Roman"/>
      <w:sz w:val="24"/>
      <w:szCs w:val="24"/>
    </w:rPr>
  </w:style>
  <w:style w:type="character" w:customStyle="1" w:styleId="bibref">
    <w:name w:val="bibref"/>
    <w:qFormat/>
  </w:style>
  <w:style w:type="character" w:customStyle="1" w:styleId="refauthors">
    <w:name w:val="refauthors"/>
    <w:qFormat/>
  </w:style>
  <w:style w:type="character" w:customStyle="1" w:styleId="order">
    <w:name w:val="order"/>
    <w:qFormat/>
  </w:style>
  <w:style w:type="character" w:customStyle="1" w:styleId="ref-journal">
    <w:name w:val="ref-journal"/>
    <w:qFormat/>
  </w:style>
  <w:style w:type="character" w:customStyle="1" w:styleId="ref-vol">
    <w:name w:val="ref-vol"/>
    <w:qFormat/>
  </w:style>
  <w:style w:type="character" w:customStyle="1" w:styleId="reference">
    <w:name w:val="reference"/>
    <w:qFormat/>
  </w:style>
  <w:style w:type="character" w:customStyle="1" w:styleId="reftitle">
    <w:name w:val="reftitle"/>
    <w:qFormat/>
  </w:style>
  <w:style w:type="character" w:customStyle="1" w:styleId="refseriestitle">
    <w:name w:val="refseriestitle"/>
    <w:qFormat/>
  </w:style>
  <w:style w:type="character" w:customStyle="1" w:styleId="refseriesdate">
    <w:name w:val="refseriesdate"/>
    <w:qFormat/>
  </w:style>
  <w:style w:type="character" w:customStyle="1" w:styleId="refseriesvolume">
    <w:name w:val="refseriesvolume"/>
    <w:qFormat/>
  </w:style>
  <w:style w:type="character" w:customStyle="1" w:styleId="refpages">
    <w:name w:val="refpages"/>
    <w:qFormat/>
  </w:style>
  <w:style w:type="character" w:customStyle="1" w:styleId="ref-title">
    <w:name w:val="ref-title"/>
    <w:qFormat/>
  </w:style>
  <w:style w:type="character" w:customStyle="1" w:styleId="cit">
    <w:name w:val="cit"/>
    <w:qFormat/>
  </w:style>
  <w:style w:type="paragraph" w:customStyle="1" w:styleId="author">
    <w:name w:val="author"/>
    <w:basedOn w:val="Normal"/>
    <w:qFormat/>
    <w:pPr>
      <w:spacing w:before="100" w:beforeAutospacing="1" w:after="100" w:afterAutospacing="1" w:line="240" w:lineRule="auto"/>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qFormat/>
    <w:rPr>
      <w:rFonts w:ascii="Segoe UI" w:eastAsia="SimSun" w:hAnsi="Segoe UI" w:cs="Segoe UI"/>
      <w:sz w:val="18"/>
      <w:szCs w:val="18"/>
    </w:rPr>
  </w:style>
  <w:style w:type="character" w:customStyle="1" w:styleId="publication-author-position">
    <w:name w:val="publication-author-position"/>
    <w:qFormat/>
  </w:style>
  <w:style w:type="paragraph" w:customStyle="1" w:styleId="para">
    <w:name w:val="para"/>
    <w:basedOn w:val="Normal"/>
    <w:qFormat/>
    <w:pPr>
      <w:spacing w:before="100" w:beforeAutospacing="1" w:after="360" w:line="240" w:lineRule="auto"/>
    </w:pPr>
    <w:rPr>
      <w:rFonts w:ascii="Times New Roman" w:eastAsia="Times New Roman" w:hAnsi="Times New Roman"/>
      <w:sz w:val="24"/>
      <w:szCs w:val="24"/>
    </w:rPr>
  </w:style>
  <w:style w:type="character" w:customStyle="1" w:styleId="citationref">
    <w:name w:val="citationref"/>
    <w:qFormat/>
  </w:style>
  <w:style w:type="paragraph" w:customStyle="1" w:styleId="articledoi1">
    <w:name w:val="articledoi1"/>
    <w:basedOn w:val="Normal"/>
    <w:qFormat/>
    <w:pPr>
      <w:pBdr>
        <w:right w:val="single" w:sz="6" w:space="6" w:color="DCDCDC"/>
      </w:pBdr>
      <w:spacing w:before="100" w:beforeAutospacing="1" w:after="0" w:line="240" w:lineRule="auto"/>
      <w:ind w:right="120"/>
    </w:pPr>
    <w:rPr>
      <w:rFonts w:ascii="Times New Roman" w:eastAsia="Times New Roman" w:hAnsi="Times New Roman"/>
      <w:color w:val="666666"/>
      <w:sz w:val="24"/>
      <w:szCs w:val="24"/>
    </w:rPr>
  </w:style>
  <w:style w:type="paragraph" w:customStyle="1" w:styleId="copyright1">
    <w:name w:val="copyright1"/>
    <w:basedOn w:val="Normal"/>
    <w:qFormat/>
    <w:pPr>
      <w:spacing w:before="100" w:beforeAutospacing="1" w:after="0" w:line="240" w:lineRule="auto"/>
    </w:pPr>
    <w:rPr>
      <w:rFonts w:ascii="Times New Roman" w:eastAsia="Times New Roman" w:hAnsi="Times New Roman"/>
      <w:color w:val="666666"/>
      <w:sz w:val="24"/>
      <w:szCs w:val="24"/>
    </w:rPr>
  </w:style>
  <w:style w:type="paragraph" w:customStyle="1" w:styleId="history1">
    <w:name w:val="history1"/>
    <w:basedOn w:val="Normal"/>
    <w:qFormat/>
    <w:pPr>
      <w:spacing w:before="100" w:beforeAutospacing="1" w:after="0" w:line="240" w:lineRule="auto"/>
    </w:pPr>
    <w:rPr>
      <w:rFonts w:ascii="Times New Roman" w:eastAsia="Times New Roman" w:hAnsi="Times New Roman"/>
      <w:color w:val="666666"/>
      <w:sz w:val="24"/>
      <w:szCs w:val="24"/>
    </w:rPr>
  </w:style>
  <w:style w:type="character" w:customStyle="1" w:styleId="u-sronly1">
    <w:name w:val="u-sronly1"/>
    <w:qFormat/>
  </w:style>
  <w:style w:type="character" w:customStyle="1" w:styleId="journaltitle2">
    <w:name w:val="journaltitle2"/>
    <w:qFormat/>
    <w:rPr>
      <w:i/>
      <w:iCs/>
    </w:rPr>
  </w:style>
  <w:style w:type="character" w:customStyle="1" w:styleId="articlecitationyear1">
    <w:name w:val="articlecitation_year1"/>
  </w:style>
  <w:style w:type="table" w:customStyle="1" w:styleId="GridTable5Dark1">
    <w:name w:val="Grid Table 5 Dark1"/>
    <w:basedOn w:val="TableNormal"/>
    <w:uiPriority w:val="50"/>
    <w:qFormat/>
    <w:rPr>
      <w:rFonts w:ascii="Calibri" w:eastAsia="SimSun" w:hAnsi="Calibri" w:cs="SimSun"/>
      <w:lang w:eastAsia="en-GB"/>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PlainTable31">
    <w:name w:val="Plain Table 31"/>
    <w:basedOn w:val="TableNormal"/>
    <w:uiPriority w:val="43"/>
    <w:qFormat/>
    <w:rPr>
      <w:rFonts w:ascii="Calibri" w:eastAsia="SimSun" w:hAnsi="Calibri" w:cs="SimSun"/>
      <w:lang w:eastAsia="en-GB"/>
    </w:rPr>
    <w:tblPr>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11">
    <w:name w:val="Unresolved Mention11"/>
    <w:uiPriority w:val="99"/>
    <w:qFormat/>
    <w:rPr>
      <w:color w:val="808080"/>
      <w:shd w:val="clear" w:color="auto" w:fill="E6E6E6"/>
    </w:rPr>
  </w:style>
  <w:style w:type="character" w:customStyle="1" w:styleId="CommentTextChar">
    <w:name w:val="Comment Text Char"/>
    <w:basedOn w:val="DefaultParagraphFont"/>
    <w:link w:val="CommentText"/>
    <w:uiPriority w:val="99"/>
    <w:qFormat/>
    <w:rPr>
      <w:rFonts w:ascii="Calibri" w:eastAsia="SimSun" w:hAnsi="Calibri" w:cs="SimSun"/>
      <w:sz w:val="20"/>
      <w:szCs w:val="20"/>
    </w:rPr>
  </w:style>
  <w:style w:type="character" w:customStyle="1" w:styleId="CommentSubjectChar">
    <w:name w:val="Comment Subject Char"/>
    <w:basedOn w:val="CommentTextChar"/>
    <w:link w:val="CommentSubject"/>
    <w:uiPriority w:val="99"/>
    <w:qFormat/>
    <w:rPr>
      <w:rFonts w:ascii="Calibri" w:eastAsia="SimSun" w:hAnsi="Calibri" w:cs="SimSun"/>
      <w:b/>
      <w:bCs/>
      <w:sz w:val="20"/>
      <w:szCs w:val="20"/>
    </w:rPr>
  </w:style>
  <w:style w:type="table" w:customStyle="1" w:styleId="PlainTable21">
    <w:name w:val="Plain Table 21"/>
    <w:basedOn w:val="TableNormal"/>
    <w:uiPriority w:val="42"/>
    <w:qFormat/>
    <w:rPr>
      <w:rFonts w:ascii="Calibri" w:eastAsia="SimSun" w:hAnsi="Calibri" w:cs="SimSun"/>
      <w:lang w:eastAsia="en-GB"/>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Accent41">
    <w:name w:val="List Table 2 - Accent 41"/>
    <w:basedOn w:val="TableNormal"/>
    <w:uiPriority w:val="47"/>
    <w:qFormat/>
    <w:rPr>
      <w:rFonts w:ascii="Calibri" w:eastAsia="SimSun" w:hAnsi="Calibri" w:cs="SimSun"/>
      <w:lang w:eastAsia="en-GB"/>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UnresolvedMention2">
    <w:name w:val="Unresolved Mention2"/>
    <w:uiPriority w:val="99"/>
    <w:qFormat/>
    <w:rPr>
      <w:color w:val="808080"/>
      <w:shd w:val="clear" w:color="auto" w:fill="E6E6E6"/>
    </w:rPr>
  </w:style>
  <w:style w:type="character" w:customStyle="1" w:styleId="UnresolvedMention3">
    <w:name w:val="Unresolved Mention3"/>
    <w:uiPriority w:val="99"/>
    <w:qFormat/>
    <w:rPr>
      <w:color w:val="808080"/>
      <w:shd w:val="clear" w:color="auto" w:fill="E6E6E6"/>
    </w:rPr>
  </w:style>
  <w:style w:type="character" w:customStyle="1" w:styleId="UnresolvedMention4">
    <w:name w:val="Unresolved Mention4"/>
    <w:uiPriority w:val="99"/>
    <w:qFormat/>
    <w:rPr>
      <w:color w:val="808080"/>
      <w:shd w:val="clear" w:color="auto" w:fill="E6E6E6"/>
    </w:rPr>
  </w:style>
  <w:style w:type="table" w:customStyle="1" w:styleId="PlainTable41">
    <w:name w:val="Plain Table 41"/>
    <w:basedOn w:val="TableNormal"/>
    <w:uiPriority w:val="44"/>
    <w:qFormat/>
    <w:pPr>
      <w:jc w:val="both"/>
    </w:pPr>
    <w:rPr>
      <w:rFonts w:ascii="Times New Roman" w:eastAsia="Calibri" w:hAnsi="Times New Roman" w:cs="SimSun"/>
      <w:sz w:val="24"/>
      <w:lang w:eastAsia="en-GB"/>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5">
    <w:name w:val="Unresolved Mention5"/>
    <w:uiPriority w:val="99"/>
    <w:unhideWhenUsed/>
    <w:qFormat/>
    <w:rPr>
      <w:color w:val="605E5C"/>
      <w:shd w:val="clear" w:color="auto" w:fill="E1DFDD"/>
    </w:rPr>
  </w:style>
  <w:style w:type="table" w:customStyle="1" w:styleId="PlainTable211">
    <w:name w:val="Plain Table 211"/>
    <w:basedOn w:val="TableNormal"/>
    <w:uiPriority w:val="42"/>
    <w:qFormat/>
    <w:rPr>
      <w:rFonts w:ascii="Calibri" w:eastAsia="Calibri" w:hAnsi="Calibri" w:cs="Times New Roman"/>
    </w:rPr>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paragraph" w:styleId="NoSpacing">
    <w:name w:val="No Spacing"/>
    <w:link w:val="NoSpacingChar"/>
    <w:uiPriority w:val="99"/>
    <w:qFormat/>
    <w:rPr>
      <w:rFonts w:ascii="Calibri" w:eastAsia="Calibri" w:hAnsi="Calibri" w:cs="SimSun"/>
      <w:sz w:val="22"/>
      <w:szCs w:val="22"/>
      <w:lang w:eastAsia="en-US"/>
    </w:rPr>
  </w:style>
  <w:style w:type="character" w:customStyle="1" w:styleId="NoSpacingChar">
    <w:name w:val="No Spacing Char"/>
    <w:basedOn w:val="DefaultParagraphFont"/>
    <w:link w:val="NoSpacing"/>
    <w:uiPriority w:val="1"/>
    <w:qFormat/>
    <w:locked/>
    <w:rPr>
      <w:rFonts w:ascii="Calibri" w:eastAsia="Calibri" w:hAnsi="Calibri" w:cs="SimSun"/>
      <w:lang w:val="en-US"/>
    </w:rPr>
  </w:style>
  <w:style w:type="character" w:customStyle="1" w:styleId="BodyTextChar">
    <w:name w:val="Body Text Char"/>
    <w:basedOn w:val="DefaultParagraphFont"/>
    <w:link w:val="BodyText"/>
    <w:uiPriority w:val="1"/>
    <w:qFormat/>
    <w:rPr>
      <w:rFonts w:ascii="Georgia" w:eastAsia="Times New Roman" w:hAnsi="Georgia" w:cs="Georgia"/>
      <w:sz w:val="20"/>
      <w:szCs w:val="20"/>
      <w:lang w:eastAsia="ja-JP"/>
    </w:rPr>
  </w:style>
  <w:style w:type="paragraph" w:customStyle="1" w:styleId="TableParagraph">
    <w:name w:val="Table Paragraph"/>
    <w:basedOn w:val="Normal"/>
    <w:uiPriority w:val="1"/>
    <w:qFormat/>
    <w:pPr>
      <w:widowControl w:val="0"/>
      <w:autoSpaceDE w:val="0"/>
      <w:autoSpaceDN w:val="0"/>
      <w:adjustRightInd w:val="0"/>
      <w:spacing w:after="0" w:line="240" w:lineRule="auto"/>
    </w:pPr>
    <w:rPr>
      <w:rFonts w:ascii="Times New Roman" w:eastAsia="Times New Roman" w:hAnsi="Times New Roman"/>
      <w:sz w:val="24"/>
      <w:szCs w:val="24"/>
      <w:lang w:eastAsia="ja-JP"/>
    </w:rPr>
  </w:style>
  <w:style w:type="paragraph" w:customStyle="1" w:styleId="MDPI62Acknowledgments">
    <w:name w:val="MDPI_6.2_Acknowledgments"/>
    <w:qFormat/>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64CoI">
    <w:name w:val="MDPI_6.4_CoI"/>
    <w:basedOn w:val="MDPI62Acknowledgments"/>
    <w:qFormat/>
  </w:style>
  <w:style w:type="character" w:customStyle="1" w:styleId="reference-text">
    <w:name w:val="reference-text"/>
    <w:qFormat/>
  </w:style>
  <w:style w:type="paragraph" w:customStyle="1" w:styleId="Revision1">
    <w:name w:val="Revision1"/>
    <w:hidden/>
    <w:uiPriority w:val="99"/>
    <w:qFormat/>
    <w:rPr>
      <w:rFonts w:ascii="Times New Roman" w:eastAsia="Times New Roman" w:hAnsi="Times New Roman" w:cs="Times New Roman"/>
      <w:sz w:val="24"/>
      <w:szCs w:val="24"/>
      <w:lang w:val="en-GB" w:eastAsia="ja-JP"/>
    </w:rPr>
  </w:style>
  <w:style w:type="table" w:customStyle="1" w:styleId="Style1">
    <w:name w:val="Style1"/>
    <w:basedOn w:val="TableNormal"/>
    <w:uiPriority w:val="99"/>
    <w:qFormat/>
    <w:rPr>
      <w:rFonts w:ascii="Calibri" w:eastAsia="Calibri" w:hAnsi="Calibri" w:cs="Times New Roman"/>
    </w:rPr>
    <w:tblPr>
      <w:tblInd w:w="0" w:type="dxa"/>
      <w:tblCellMar>
        <w:top w:w="0" w:type="dxa"/>
        <w:left w:w="108" w:type="dxa"/>
        <w:bottom w:w="0" w:type="dxa"/>
        <w:right w:w="108" w:type="dxa"/>
      </w:tblCellMar>
    </w:tblPr>
  </w:style>
  <w:style w:type="character" w:customStyle="1" w:styleId="fontstyle01">
    <w:name w:val="fontstyle01"/>
    <w:qFormat/>
    <w:rPr>
      <w:rFonts w:ascii="AGaramondPro-Regular" w:hAnsi="AGaramondPro-Regular" w:hint="default"/>
      <w:color w:val="000000"/>
      <w:sz w:val="20"/>
      <w:szCs w:val="20"/>
    </w:rPr>
  </w:style>
  <w:style w:type="table" w:customStyle="1" w:styleId="PlainTable42">
    <w:name w:val="Plain Table 42"/>
    <w:basedOn w:val="TableNormal"/>
    <w:uiPriority w:val="44"/>
    <w:qFormat/>
    <w:rPr>
      <w:rFonts w:ascii="Calibri" w:eastAsia="Calibri" w:hAnsi="Calibri" w:cs="Times New Roman"/>
      <w:lang w:eastAsia="en-GB"/>
    </w:rPr>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qFormat/>
    <w:rPr>
      <w:color w:val="808080"/>
    </w:rPr>
  </w:style>
  <w:style w:type="paragraph" w:customStyle="1" w:styleId="Bibliography1">
    <w:name w:val="Bibliography1"/>
    <w:basedOn w:val="Normal"/>
    <w:next w:val="Normal"/>
    <w:uiPriority w:val="37"/>
    <w:semiHidden/>
    <w:unhideWhenUsed/>
    <w:qFormat/>
  </w:style>
  <w:style w:type="table" w:customStyle="1" w:styleId="ListTable6Colorful2">
    <w:name w:val="List Table 6 Colorful2"/>
    <w:basedOn w:val="TableNormal"/>
    <w:uiPriority w:val="51"/>
    <w:qFormat/>
    <w:rPr>
      <w:rFonts w:ascii="Calibri" w:eastAsia="Calibri" w:hAnsi="Calibri" w:cs="Times New Roman"/>
      <w:color w:val="000000" w:themeColor="text1"/>
      <w:lang w:eastAsia="en-GB"/>
    </w:rPr>
    <w:tblPr>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2">
    <w:name w:val="Plain Table 22"/>
    <w:basedOn w:val="TableNormal"/>
    <w:uiPriority w:val="42"/>
    <w:qFormat/>
    <w:rPr>
      <w:rFonts w:ascii="Calibri" w:eastAsia="Calibri" w:hAnsi="Calibri" w:cs="Times New Roman"/>
      <w:lang w:eastAsia="en-GB"/>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qFormat/>
    <w:pPr>
      <w:spacing w:after="0" w:line="240" w:lineRule="auto"/>
    </w:pPr>
    <w:rPr>
      <w:rFonts w:ascii="Times New Roman" w:hAnsi="Times New Roman" w:cs="Calibri"/>
      <w:color w:val="000000"/>
      <w:sz w:val="24"/>
      <w:szCs w:val="24"/>
      <w:lang w:val="en-US"/>
    </w:rPr>
  </w:style>
  <w:style w:type="character" w:customStyle="1" w:styleId="EndNoteBibliographyChar">
    <w:name w:val="EndNote Bibliography Char"/>
    <w:basedOn w:val="DefaultParagraphFont"/>
    <w:link w:val="EndNoteBibliography"/>
    <w:qFormat/>
    <w:rPr>
      <w:rFonts w:ascii="Times New Roman" w:eastAsia="Calibri" w:hAnsi="Times New Roman" w:cs="Calibri"/>
      <w:color w:val="000000"/>
      <w:sz w:val="24"/>
      <w:szCs w:val="24"/>
      <w:lang w:val="en-US"/>
    </w:rPr>
  </w:style>
  <w:style w:type="paragraph" w:customStyle="1" w:styleId="EndNoteBibliographyTitle">
    <w:name w:val="EndNote Bibliography Title"/>
    <w:basedOn w:val="Normal"/>
    <w:link w:val="EndNoteBibliographyTitleChar"/>
    <w:qFormat/>
    <w:pPr>
      <w:spacing w:after="0" w:line="276" w:lineRule="auto"/>
      <w:jc w:val="center"/>
    </w:pPr>
    <w:rPr>
      <w:rFonts w:ascii="Times New Roman" w:hAnsi="Times New Roman" w:cs="Calibri"/>
      <w:color w:val="000000"/>
      <w:sz w:val="24"/>
      <w:szCs w:val="27"/>
      <w:lang w:val="en-US"/>
    </w:rPr>
  </w:style>
  <w:style w:type="character" w:customStyle="1" w:styleId="EndNoteBibliographyTitleChar">
    <w:name w:val="EndNote Bibliography Title Char"/>
    <w:basedOn w:val="DefaultParagraphFont"/>
    <w:link w:val="EndNoteBibliographyTitle"/>
    <w:qFormat/>
    <w:rPr>
      <w:rFonts w:ascii="Times New Roman" w:eastAsia="Calibri" w:hAnsi="Times New Roman" w:cs="Calibri"/>
      <w:color w:val="000000"/>
      <w:sz w:val="24"/>
      <w:szCs w:val="27"/>
      <w:lang w:val="en-US"/>
    </w:rPr>
  </w:style>
  <w:style w:type="character" w:customStyle="1" w:styleId="line-clamp-1">
    <w:name w:val="line-clamp-1"/>
    <w:basedOn w:val="DefaultParagraphFont"/>
    <w:qFormat/>
  </w:style>
  <w:style w:type="character" w:customStyle="1" w:styleId="markedcontent">
    <w:name w:val="markedcontent"/>
    <w:basedOn w:val="DefaultParagraphFont"/>
    <w:qFormat/>
  </w:style>
  <w:style w:type="paragraph" w:customStyle="1" w:styleId="Standard">
    <w:name w:val="Standard"/>
    <w:qFormat/>
    <w:pPr>
      <w:suppressAutoHyphens/>
      <w:autoSpaceDN w:val="0"/>
      <w:spacing w:after="160" w:line="259" w:lineRule="auto"/>
      <w:textAlignment w:val="baseline"/>
    </w:pPr>
    <w:rPr>
      <w:rFonts w:ascii="Calibri" w:eastAsia="Calibri" w:hAnsi="Calibri" w:cs="F"/>
      <w:sz w:val="22"/>
      <w:szCs w:val="22"/>
      <w:lang w:eastAsia="en-US"/>
    </w:rPr>
  </w:style>
  <w:style w:type="paragraph" w:customStyle="1" w:styleId="Heading21">
    <w:name w:val="Heading 21"/>
    <w:basedOn w:val="Normal"/>
    <w:qFormat/>
    <w:pPr>
      <w:spacing w:before="62" w:line="256" w:lineRule="auto"/>
      <w:ind w:left="882" w:hanging="241"/>
      <w:outlineLvl w:val="2"/>
    </w:pPr>
    <w:rPr>
      <w:rFonts w:ascii="Times New Roman" w:eastAsia="Times New Roman" w:hAnsi="Times New Roman"/>
      <w:b/>
      <w:bCs/>
      <w:kern w:val="2"/>
      <w:sz w:val="24"/>
      <w:szCs w:val="24"/>
      <w:lang w:val="en-US"/>
    </w:rPr>
  </w:style>
  <w:style w:type="table" w:customStyle="1" w:styleId="GridTable6Colorful1">
    <w:name w:val="Grid Table 6 Colorful1"/>
    <w:basedOn w:val="TableNormal"/>
    <w:uiPriority w:val="51"/>
    <w:qFormat/>
    <w:rPr>
      <w:color w:val="000000" w:themeColor="text1"/>
      <w:kern w:val="2"/>
      <w14:ligatures w14:val="standardContextual"/>
    </w:rPr>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0">
    <w:name w:val="Grid Table 6 Colorful1"/>
    <w:basedOn w:val="TableNormal"/>
    <w:uiPriority w:val="51"/>
    <w:qFormat/>
    <w:rPr>
      <w:color w:val="000000" w:themeColor="text1"/>
      <w:kern w:val="2"/>
      <w:sz w:val="24"/>
      <w:szCs w:val="24"/>
      <w14:ligatures w14:val="standardContextual"/>
    </w:rPr>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eChar">
    <w:name w:val="Title Char"/>
    <w:basedOn w:val="DefaultParagraphFont"/>
    <w:link w:val="Title"/>
    <w:qFormat/>
    <w:rPr>
      <w:rFonts w:asciiTheme="majorHAnsi" w:eastAsiaTheme="majorEastAsia" w:hAnsiTheme="majorHAnsi" w:cstheme="majorBidi"/>
      <w:spacing w:val="-10"/>
      <w:kern w:val="28"/>
      <w:sz w:val="56"/>
      <w:szCs w:val="56"/>
      <w:lang w:val="en-US"/>
      <w14:ligatures w14:val="standardContextual"/>
    </w:rPr>
  </w:style>
  <w:style w:type="character" w:customStyle="1" w:styleId="SubtitleChar">
    <w:name w:val="Subtitle Char"/>
    <w:basedOn w:val="DefaultParagraphFont"/>
    <w:link w:val="Subtitle"/>
    <w:qFormat/>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qFormat/>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qFormat/>
    <w:rPr>
      <w:i/>
      <w:iCs/>
      <w:color w:val="404040" w:themeColor="text1" w:themeTint="BF"/>
      <w:kern w:val="2"/>
      <w:lang w:val="en-US"/>
      <w14:ligatures w14:val="standardContextual"/>
    </w:r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qFormat/>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HAnsi" w:hAnsiTheme="minorHAnsi" w:cstheme="minorBidi"/>
      <w:i/>
      <w:iCs/>
      <w:color w:val="2E74B5" w:themeColor="accent1" w:themeShade="BF"/>
      <w:kern w:val="2"/>
      <w:lang w:val="en-US"/>
      <w14:ligatures w14:val="standardContextual"/>
    </w:rPr>
  </w:style>
  <w:style w:type="character" w:customStyle="1" w:styleId="IntenseQuoteChar">
    <w:name w:val="Intense Quote Char"/>
    <w:basedOn w:val="DefaultParagraphFont"/>
    <w:link w:val="IntenseQuote"/>
    <w:qFormat/>
    <w:rPr>
      <w:i/>
      <w:iCs/>
      <w:color w:val="2E74B5" w:themeColor="accent1" w:themeShade="BF"/>
      <w:kern w:val="2"/>
      <w:lang w:val="en-US"/>
      <w14:ligatures w14:val="standardContextual"/>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authors-list-item">
    <w:name w:val="authors-list-item"/>
    <w:basedOn w:val="DefaultParagraphFont"/>
    <w:qFormat/>
  </w:style>
  <w:style w:type="character" w:customStyle="1" w:styleId="docsum-journal-citation">
    <w:name w:val="docsum-journal-citation"/>
    <w:basedOn w:val="DefaultParagraphFont"/>
    <w:qFormat/>
  </w:style>
  <w:style w:type="character" w:customStyle="1" w:styleId="comma">
    <w:name w:val="comma"/>
    <w:basedOn w:val="DefaultParagraphFont"/>
    <w:qFormat/>
  </w:style>
  <w:style w:type="character" w:customStyle="1" w:styleId="author-sup-separator">
    <w:name w:val="author-sup-separator"/>
    <w:basedOn w:val="DefaultParagraphFont"/>
    <w:qFormat/>
  </w:style>
  <w:style w:type="character" w:customStyle="1" w:styleId="fontstyle31">
    <w:name w:val="fontstyle31"/>
    <w:qFormat/>
    <w:rPr>
      <w:rFonts w:ascii="Times New Roman" w:eastAsia="Calibri" w:hAnsi="Times New Roman" w:cs="Times New Roman" w:hint="default"/>
      <w:color w:val="000000"/>
      <w:sz w:val="22"/>
      <w:szCs w:val="22"/>
    </w:rPr>
  </w:style>
  <w:style w:type="table" w:customStyle="1" w:styleId="ListTable6Colorful-Accent11">
    <w:name w:val="List Table 6 Colorful - Accent 11"/>
    <w:basedOn w:val="TableNormal"/>
    <w:uiPriority w:val="51"/>
    <w:qFormat/>
    <w:rPr>
      <w:color w:val="2E74B5" w:themeColor="accent1" w:themeShade="BF"/>
    </w:rPr>
    <w:tblPr>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41">
    <w:name w:val="List Table 6 Colorful - Accent 41"/>
    <w:basedOn w:val="TableNormal"/>
    <w:uiPriority w:val="51"/>
    <w:qFormat/>
    <w:rPr>
      <w:color w:val="BF8F00" w:themeColor="accent4" w:themeShade="BF"/>
    </w:rPr>
    <w:tblPr>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BodyTextIndent3Char">
    <w:name w:val="Body Text Indent 3 Char"/>
    <w:basedOn w:val="DefaultParagraphFont"/>
    <w:link w:val="BodyTextIndent3"/>
    <w:qFormat/>
    <w:rPr>
      <w:rFonts w:ascii="Times New Roman" w:eastAsia="Times New Roman" w:hAnsi="Times New Roman" w:cs="Times New Roman"/>
      <w:sz w:val="16"/>
      <w:szCs w:val="16"/>
      <w:lang w:val="zh-CN" w:eastAsia="zh-CN"/>
    </w:rPr>
  </w:style>
  <w:style w:type="character" w:customStyle="1" w:styleId="DocumentMapChar">
    <w:name w:val="Document Map Char"/>
    <w:link w:val="DocumentMap"/>
    <w:uiPriority w:val="99"/>
    <w:semiHidden/>
    <w:qFormat/>
    <w:rPr>
      <w:rFonts w:ascii="Tahoma" w:hAnsi="Tahoma" w:cs="Tahoma"/>
      <w:sz w:val="16"/>
      <w:szCs w:val="16"/>
    </w:rPr>
  </w:style>
  <w:style w:type="character" w:customStyle="1" w:styleId="DocumentMapChar1">
    <w:name w:val="Document Map Char1"/>
    <w:basedOn w:val="DefaultParagraphFont"/>
    <w:uiPriority w:val="99"/>
    <w:semiHidden/>
    <w:qFormat/>
    <w:rPr>
      <w:rFonts w:ascii="Segoe UI" w:eastAsia="Calibri" w:hAnsi="Segoe UI" w:cs="Segoe UI"/>
      <w:sz w:val="16"/>
      <w:szCs w:val="16"/>
    </w:rPr>
  </w:style>
  <w:style w:type="paragraph" w:customStyle="1" w:styleId="SP270361">
    <w:name w:val="SP270361"/>
    <w:basedOn w:val="Default"/>
    <w:next w:val="Default"/>
    <w:uiPriority w:val="99"/>
    <w:qFormat/>
    <w:rPr>
      <w:rFonts w:ascii="PKEGH B+ T T 3 C 078o 00" w:hAnsi="PKEGH B+ T T 3 C 078o 00"/>
      <w:color w:val="auto"/>
    </w:rPr>
  </w:style>
  <w:style w:type="character" w:customStyle="1" w:styleId="SC1657">
    <w:name w:val="SC1657"/>
    <w:uiPriority w:val="99"/>
    <w:qFormat/>
    <w:rPr>
      <w:rFonts w:cs="PKEGH B+ T T 3 C 078o 00"/>
      <w:color w:val="000000"/>
      <w:sz w:val="28"/>
      <w:szCs w:val="28"/>
    </w:rPr>
  </w:style>
  <w:style w:type="paragraph" w:customStyle="1" w:styleId="SP270352">
    <w:name w:val="SP270352"/>
    <w:basedOn w:val="Default"/>
    <w:next w:val="Default"/>
    <w:uiPriority w:val="99"/>
    <w:qFormat/>
    <w:rPr>
      <w:rFonts w:ascii="PKEGH B+ T T 3 C 078o 00" w:hAnsi="PKEGH B+ T T 3 C 078o 00"/>
      <w:color w:val="auto"/>
    </w:rPr>
  </w:style>
  <w:style w:type="character" w:customStyle="1" w:styleId="SC1624">
    <w:name w:val="SC1624"/>
    <w:uiPriority w:val="99"/>
    <w:qFormat/>
    <w:rPr>
      <w:rFonts w:ascii="PKEGF N+ T T 3 C 074o 00" w:hAnsi="PKEGF N+ T T 3 C 074o 00" w:cs="PKEGF N+ T T 3 C 074o 00"/>
      <w:color w:val="000000"/>
      <w:sz w:val="18"/>
      <w:szCs w:val="18"/>
    </w:rPr>
  </w:style>
  <w:style w:type="character" w:customStyle="1" w:styleId="uv3um">
    <w:name w:val="uv3um"/>
    <w:basedOn w:val="DefaultParagraphFont"/>
    <w:qFormat/>
  </w:style>
  <w:style w:type="paragraph" w:customStyle="1" w:styleId="CM1">
    <w:name w:val="CM1"/>
    <w:basedOn w:val="Default"/>
    <w:next w:val="Default"/>
    <w:uiPriority w:val="99"/>
    <w:qFormat/>
    <w:rPr>
      <w:rFonts w:ascii="Merriweather Sans" w:hAnsi="Merriweather Sans"/>
      <w:color w:val="auto"/>
    </w:rPr>
  </w:style>
  <w:style w:type="paragraph" w:customStyle="1" w:styleId="CM19">
    <w:name w:val="CM19"/>
    <w:basedOn w:val="Default"/>
    <w:next w:val="Default"/>
    <w:uiPriority w:val="99"/>
    <w:rPr>
      <w:rFonts w:ascii="Trade Gothic LT Std Cn" w:hAnsi="Trade Gothic LT Std Cn"/>
      <w:color w:val="auto"/>
    </w:rPr>
  </w:style>
  <w:style w:type="character" w:customStyle="1" w:styleId="reference-accessdate">
    <w:name w:val="reference-accessdate"/>
    <w:basedOn w:val="DefaultParagraphFont"/>
  </w:style>
  <w:style w:type="character" w:customStyle="1" w:styleId="nowrap">
    <w:name w:val="nowrap"/>
    <w:basedOn w:val="DefaultParagraphFont"/>
  </w:style>
  <w:style w:type="character" w:customStyle="1" w:styleId="UnresolvedMention6">
    <w:name w:val="Unresolved Mention6"/>
    <w:basedOn w:val="DefaultParagraphFont"/>
    <w:uiPriority w:val="99"/>
    <w:semiHidden/>
    <w:unhideWhenUsed/>
    <w:rPr>
      <w:color w:val="605E5C"/>
      <w:shd w:val="clear" w:color="auto" w:fill="E1DFDD"/>
    </w:rPr>
  </w:style>
  <w:style w:type="paragraph" w:customStyle="1" w:styleId="ds-markdown-paragraph">
    <w:name w:val="ds-markdown-paragraph"/>
    <w:basedOn w:val="Normal"/>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ommentSubjectChar1">
    <w:name w:val="Comment Subject Char1"/>
    <w:basedOn w:val="CommentTextChar"/>
    <w:uiPriority w:val="99"/>
    <w:semiHidden/>
    <w:rPr>
      <w:rFonts w:ascii="Calibri" w:eastAsia="SimSun" w:hAnsi="Calibri" w:cs="SimSun"/>
      <w:b/>
      <w:bCs/>
      <w:sz w:val="20"/>
      <w:szCs w:val="20"/>
      <w:lang w:val="en-US"/>
    </w:rPr>
  </w:style>
  <w:style w:type="character" w:customStyle="1" w:styleId="ff7">
    <w:name w:val="ff7"/>
    <w:basedOn w:val="DefaultParagraphFont"/>
  </w:style>
  <w:style w:type="character" w:customStyle="1" w:styleId="ff4">
    <w:name w:val="ff4"/>
    <w:basedOn w:val="DefaultParagraphFont"/>
  </w:style>
  <w:style w:type="character" w:customStyle="1" w:styleId="lsa">
    <w:name w:val="lsa"/>
    <w:basedOn w:val="DefaultParagraphFont"/>
  </w:style>
  <w:style w:type="character" w:customStyle="1" w:styleId="ws0">
    <w:name w:val="ws0"/>
    <w:basedOn w:val="DefaultParagraphFont"/>
  </w:style>
  <w:style w:type="character" w:customStyle="1" w:styleId="ff3">
    <w:name w:val="ff3"/>
    <w:basedOn w:val="DefaultParagraphFont"/>
  </w:style>
  <w:style w:type="character" w:customStyle="1" w:styleId="ff2">
    <w:name w:val="ff2"/>
    <w:basedOn w:val="DefaultParagraphFont"/>
  </w:style>
  <w:style w:type="character" w:customStyle="1" w:styleId="ff8">
    <w:name w:val="ff8"/>
    <w:basedOn w:val="DefaultParagraphFont"/>
  </w:style>
  <w:style w:type="character" w:customStyle="1" w:styleId="ls1c">
    <w:name w:val="ls1c"/>
    <w:basedOn w:val="DefaultParagraphFont"/>
  </w:style>
  <w:style w:type="character" w:customStyle="1" w:styleId="ls1b">
    <w:name w:val="ls1b"/>
    <w:basedOn w:val="DefaultParagraphFont"/>
  </w:style>
  <w:style w:type="character" w:customStyle="1" w:styleId="fcup0c">
    <w:name w:val="fcup0c"/>
    <w:basedOn w:val="DefaultParagraphFont"/>
  </w:style>
  <w:style w:type="character" w:customStyle="1" w:styleId="lsf">
    <w:name w:val="lsf"/>
    <w:basedOn w:val="DefaultParagraphFont"/>
  </w:style>
  <w:style w:type="character" w:customStyle="1" w:styleId="ls7">
    <w:name w:val="ls7"/>
    <w:basedOn w:val="DefaultParagraphFont"/>
  </w:style>
  <w:style w:type="paragraph" w:customStyle="1" w:styleId="Pa20">
    <w:name w:val="Pa20"/>
    <w:basedOn w:val="Normal"/>
    <w:next w:val="Normal"/>
    <w:uiPriority w:val="99"/>
    <w:pPr>
      <w:autoSpaceDE w:val="0"/>
      <w:autoSpaceDN w:val="0"/>
      <w:adjustRightInd w:val="0"/>
      <w:spacing w:after="0" w:line="161" w:lineRule="atLeast"/>
    </w:pPr>
    <w:rPr>
      <w:rFonts w:ascii="Times New Roman" w:hAnsi="Times New Roman"/>
      <w:sz w:val="24"/>
      <w:szCs w:val="24"/>
      <w:lang w:val="en-US"/>
    </w:rPr>
  </w:style>
  <w:style w:type="character" w:customStyle="1" w:styleId="ls4">
    <w:name w:val="ls4"/>
    <w:basedOn w:val="DefaultParagraphFont"/>
    <w:qFormat/>
  </w:style>
  <w:style w:type="table" w:customStyle="1" w:styleId="PlainTable51">
    <w:name w:val="Plain Table 51"/>
    <w:basedOn w:val="TableNormal"/>
    <w:uiPriority w:val="45"/>
    <w:qFormat/>
    <w:rPr>
      <w:rFonts w:ascii="Times New Roman" w:eastAsia="SimSun" w:hAnsi="Times New Roman" w:cs="Times New Roman"/>
    </w:rPr>
    <w:tblPr>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
    <w:name w:val="_"/>
    <w:basedOn w:val="DefaultParagraphFont"/>
    <w:qFormat/>
  </w:style>
  <w:style w:type="character" w:customStyle="1" w:styleId="ff6">
    <w:name w:val="ff6"/>
    <w:basedOn w:val="DefaultParagraphFont"/>
  </w:style>
  <w:style w:type="character" w:customStyle="1" w:styleId="ws3">
    <w:name w:val="ws3"/>
    <w:basedOn w:val="DefaultParagraphFont"/>
    <w:qFormat/>
  </w:style>
  <w:style w:type="character" w:customStyle="1" w:styleId="UnresolvedMention">
    <w:name w:val="Unresolved Mention"/>
    <w:basedOn w:val="DefaultParagraphFont"/>
    <w:uiPriority w:val="99"/>
    <w:semiHidden/>
    <w:unhideWhenUsed/>
    <w:rsid w:val="00BD338A"/>
    <w:rPr>
      <w:color w:val="605E5C"/>
      <w:shd w:val="clear" w:color="auto" w:fill="E1DFDD"/>
    </w:rPr>
  </w:style>
  <w:style w:type="table" w:styleId="ListTable6Colorful">
    <w:name w:val="List Table 6 Colorful"/>
    <w:basedOn w:val="TableNormal"/>
    <w:uiPriority w:val="51"/>
    <w:rsid w:val="00CB22C6"/>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ntro">
    <w:name w:val="intro"/>
    <w:basedOn w:val="Normal"/>
    <w:qFormat/>
    <w:rsid w:val="00287FD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15">
    <w:name w:val="15"/>
    <w:basedOn w:val="DefaultParagraphFont"/>
    <w:qFormat/>
    <w:rsid w:val="00C63E87"/>
    <w:rPr>
      <w:rFonts w:ascii="Calibri" w:hAnsi="Calibri" w:cs="Calibri" w:hint="default"/>
      <w:color w:val="0000FF"/>
      <w:u w:val="single"/>
    </w:rPr>
  </w:style>
  <w:style w:type="table" w:styleId="PlainTable5">
    <w:name w:val="Plain Table 5"/>
    <w:basedOn w:val="TableNormal"/>
    <w:uiPriority w:val="45"/>
    <w:rsid w:val="00497D2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FF30E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IntenseEmphasis">
    <w:name w:val="Intense Emphasis"/>
    <w:basedOn w:val="DefaultParagraphFont"/>
    <w:rsid w:val="00B450A5"/>
    <w:rPr>
      <w:i/>
      <w:iCs/>
      <w:color w:val="2F5496"/>
    </w:rPr>
  </w:style>
  <w:style w:type="character" w:styleId="IntenseReference">
    <w:name w:val="Intense Reference"/>
    <w:basedOn w:val="DefaultParagraphFont"/>
    <w:rsid w:val="00B450A5"/>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doi.org/10.53982/aijnas.2023.0301.02-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doi.org/10.3390/antiox11071313" TargetMode="External"/><Relationship Id="rId2" Type="http://schemas.openxmlformats.org/officeDocument/2006/relationships/numbering" Target="numbering.xml"/><Relationship Id="rId16" Type="http://schemas.openxmlformats.org/officeDocument/2006/relationships/hyperlink" Target="https://doi.org/10.36490/journal-jps.com.v9i3.177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musaadatu227@gmail.com" TargetMode="External"/><Relationship Id="rId5" Type="http://schemas.openxmlformats.org/officeDocument/2006/relationships/webSettings" Target="webSettings.xml"/><Relationship Id="rId15" Type="http://schemas.openxmlformats.org/officeDocument/2006/relationships/hyperlink" Target="https://doi.org/10.33003/sajols-2026-0403-31"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33003/sajols-2026-0403-3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Nas16</b:Tag>
    <b:SourceType>JournalArticle</b:SourceType>
    <b:Guid>{2B3F832F-DC24-4673-8449-A6738993E38B}</b:Guid>
    <b:Title>The Prevalence of Absence of the Palmaris Longus Muscle Tendon in the North of Iran: A Comparative Study</b:Title>
    <b:JournalName>Iranian Red Crescent Medical Journal</b:JournalName>
    <b:Year>2016</b:Year>
    <b:Pages>e22465</b:Pages>
    <b:Volume>18</b:Volume>
    <b:Issue>3</b:Issue>
    <b:Author>
      <b:Author>
        <b:NameList>
          <b:Person>
            <b:Last>Nasiri</b:Last>
            <b:First>E.</b:First>
          </b:Person>
          <b:Person>
            <b:Last>Pourghasem</b:Last>
            <b:First>M.</b:First>
          </b:Person>
          <b:Person>
            <b:Last>Moladoust</b:Last>
            <b:First>H.</b:First>
          </b:Person>
        </b:NameList>
      </b:Author>
    </b:Author>
    <b:RefOrder>1</b:RefOrder>
  </b:Source>
  <b:Source>
    <b:Tag>Isi20</b:Tag>
    <b:SourceType>JournalArticle</b:SourceType>
    <b:Guid>{8A7F73F8-5119-4D4E-B477-843234C7E5F7}</b:Guid>
    <b:Title>The functional role of the palmar aponeurosis and A1 pulley in proximal zone 2 flexor tendon repairs: a case report</b:Title>
    <b:JournalName>Journal of Hand Surgery (European Volume)</b:JournalName>
    <b:Year>2020</b:Year>
    <b:Pages>981-982</b:Pages>
    <b:Volume>45</b:Volume>
    <b:Issue>9</b:Issue>
    <b:Author>
      <b:Author>
        <b:NameList>
          <b:Person>
            <b:Last>Isidro</b:Last>
            <b:First>J.</b:First>
          </b:Person>
          <b:Person>
            <b:Last>Gustavo</b:Last>
            <b:First>M.</b:First>
          </b:Person>
          <b:Person>
            <b:Last>Alberto</b:Last>
            <b:First>M.</b:First>
          </b:Person>
        </b:NameList>
      </b:Author>
    </b:Author>
    <b:RefOrder>2</b:RefOrder>
  </b:Source>
  <b:Source>
    <b:Tag>Geo171</b:Tag>
    <b:SourceType>JournalArticle</b:SourceType>
    <b:Guid>{E687C5FD-1DB7-442C-AE82-CB4F9FB71707}</b:Guid>
    <b:Title>Palmaris Longus Muscle Variations: Clinical Significance and Proposal of New Classifications.</b:Title>
    <b:JournalName>Folia Med (Plovdiv)</b:JournalName>
    <b:Year>2017</b:Year>
    <b:Pages>289-297</b:Pages>
    <b:Volume>59</b:Volume>
    <b:Issue>3</b:Issue>
    <b:Author>
      <b:Author>
        <b:NameList>
          <b:Person>
            <b:Last>Georgiev</b:Last>
            <b:Middle>P.</b:Middle>
            <b:First>G.</b:First>
          </b:Person>
          <b:Person>
            <b:Last>Iliev </b:Last>
            <b:Middle>A.</b:Middle>
            <b:First>A.</b:First>
          </b:Person>
          <b:Person>
            <b:Last>Dimitrova</b:Last>
            <b:Middle>N.</b:Middle>
            <b:First>I.</b:First>
          </b:Person>
          <b:Person>
            <b:Last>Kotov</b:Last>
            <b:Middle>N.</b:Middle>
            <b:First>G.</b:First>
          </b:Person>
          <b:Person>
            <b:Last>Malinova </b:Last>
            <b:Middle>G.</b:Middle>
            <b:First>L.</b:First>
          </b:Person>
          <b:Person>
            <b:Last>Landzhov</b:Last>
            <b:Middle>V.</b:Middle>
            <b:First>B.</b:First>
          </b:Person>
        </b:NameList>
      </b:Author>
    </b:Author>
    <b:RefOrder>3</b:RefOrder>
  </b:Source>
  <b:Source>
    <b:Tag>Lal14</b:Tag>
    <b:SourceType>JournalArticle</b:SourceType>
    <b:Guid>{B8071E93-8527-430C-88C8-5371E739D015}</b:Guid>
    <b:Title>Bifi d inverted palmaris longus muscle – a case report</b:Title>
    <b:JournalName>Europen Journal of Anatomy</b:JournalName>
    <b:Year>2014</b:Year>
    <b:Pages>341-343</b:Pages>
    <b:Volume>18</b:Volume>
    <b:Issue>3</b:Issue>
    <b:Author>
      <b:Author>
        <b:NameList>
          <b:Person>
            <b:Last>Lalit</b:Last>
            <b:First>M.</b:First>
          </b:Person>
          <b:Person>
            <b:Last>Singla</b:Last>
            <b:Middle>K.</b:Middle>
            <b:First>R.</b:First>
          </b:Person>
          <b:Person>
            <b:Last>Piplani</b:Last>
            <b:First>S.</b:First>
          </b:Person>
        </b:NameList>
      </b:Author>
    </b:Author>
    <b:RefOrder>30</b:RefOrder>
  </b:Source>
  <b:Source>
    <b:Tag>Kul191</b:Tag>
    <b:SourceType>JournalArticle</b:SourceType>
    <b:Guid>{6B80514C-11A3-4BFE-AAB2-FCD954021805}</b:Guid>
    <b:Title>To Study the Prevalence of the Absence of Palmaris Longus in the Punjabi Population - An Institutional Study</b:Title>
    <b:JournalName>International Journal of Contemporary Medicine, Surgery and Radiology</b:JournalName>
    <b:Year>2019</b:Year>
    <b:Pages>2565-4802</b:Pages>
    <b:Volume>4</b:Volume>
    <b:Issue>3</b:Issue>
    <b:Author>
      <b:Author>
        <b:NameList>
          <b:Person>
            <b:Last>Kular</b:Last>
            <b:Middle>S.</b:Middle>
            <b:First>P.</b:First>
          </b:Person>
          <b:Person>
            <b:Last>Garg</b:Last>
            <b:First>R.</b:First>
          </b:Person>
          <b:Person>
            <b:Last>Miglani</b:Last>
            <b:First>P.</b:First>
          </b:Person>
          <b:Person>
            <b:Last>Kaur</b:Last>
            <b:First>S.</b:First>
          </b:Person>
        </b:NameList>
      </b:Author>
    </b:Author>
    <b:RefOrder>4</b:RefOrder>
  </b:Source>
  <b:Source>
    <b:Tag>Sta081</b:Tag>
    <b:SourceType>Book</b:SourceType>
    <b:Guid>{91F2BD24-8F8F-4843-A1AE-3836F47584D0}</b:Guid>
    <b:Title>Gray’s anatomy,</b:Title>
    <b:Year>2008</b:Year>
    <b:Author>
      <b:Author>
        <b:NameList>
          <b:Person>
            <b:Last>Standring</b:Last>
            <b:First>S.</b:First>
          </b:Person>
        </b:NameList>
      </b:Author>
    </b:Author>
    <b:City>Edinburg</b:City>
    <b:Publisher>Elsevier Churchill Livingstone</b:Publisher>
    <b:Edition>40th</b:Edition>
    <b:RefOrder>5</b:RefOrder>
  </b:Source>
  <b:Source>
    <b:Tag>McC01</b:Tag>
    <b:SourceType>JournalArticle</b:SourceType>
    <b:Guid>{ECB819D5-7798-4888-9777-DA75C9277915}</b:Guid>
    <b:Title>Unilateral renal agenesis associated with congenital bilateral absence of the vas deferens: phenotypic findings and genetic considerations</b:Title>
    <b:Year>2001</b:Year>
    <b:Author>
      <b:Author>
        <b:NameList>
          <b:Person>
            <b:Last>McCallum</b:Last>
            <b:Middle>J.</b:Middle>
            <b:First>T.</b:First>
          </b:Person>
        </b:NameList>
      </b:Author>
    </b:Author>
    <b:JournalName>Human Reproduction</b:JournalName>
    <b:Pages>282-288</b:Pages>
    <b:Volume>16</b:Volume>
    <b:Issue>2</b:Issue>
    <b:RefOrder>6</b:RefOrder>
  </b:Source>
  <b:Source>
    <b:Tag>Seb06</b:Tag>
    <b:SourceType>JournalArticle</b:SourceType>
    <b:Guid>{CE05ADE2-E5E4-45E4-BC4E-4ED037D4D7D8}</b:Guid>
    <b:Title>Clinical assessment of absence of the Palmaris longus and its association with other anatomical anomalies  -  a Chinese population study</b:Title>
    <b:JournalName>ANNALS Academy of ANNALS Academy of </b:JournalName>
    <b:Year>2006</b:Year>
    <b:Pages>249-253</b:Pages>
    <b:Volume>35</b:Volume>
    <b:Issue>4</b:Issue>
    <b:Author>
      <b:Author>
        <b:NameList>
          <b:Person>
            <b:Last>Sebastin</b:Last>
            <b:Middle>J.</b:Middle>
            <b:First>S.</b:First>
          </b:Person>
          <b:Person>
            <b:Last>Lim</b:Last>
            <b:Middle>Y.</b:Middle>
            <b:First>A.</b:First>
          </b:Person>
        </b:NameList>
      </b:Author>
    </b:Author>
    <b:RefOrder>7</b:RefOrder>
  </b:Source>
  <b:Source>
    <b:Tag>Eri11</b:Tag>
    <b:SourceType>JournalArticle</b:SourceType>
    <b:Guid>{0FDC356E-FA4D-4078-8520-2F6BF9DCFBB9}</b:Guid>
    <b:Title> Prevalence of the palmaris longus in relation to the hand dominance</b:Title>
    <b:JournalName>Surgical and Radiologic Anatomy</b:JournalName>
    <b:Year>2011</b:Year>
    <b:Pages>481–484.</b:Pages>
    <b:Volume>33</b:Volume>
    <b:Issue>6</b:Issue>
    <b:Author>
      <b:Author>
        <b:NameList>
          <b:Person>
            <b:Last>Erić </b:Last>
            <b:First>M.</b:First>
          </b:Person>
          <b:Person>
            <b:Last>Koprivčić </b:Last>
            <b:First>I.</b:First>
          </b:Person>
          <b:Person>
            <b:Last>Vučinić</b:Last>
            <b:First>N.</b:First>
          </b:Person>
        </b:NameList>
      </b:Author>
    </b:Author>
    <b:RefOrder>8</b:RefOrder>
  </b:Source>
  <b:Source>
    <b:Tag>Tho011</b:Tag>
    <b:SourceType>JournalArticle</b:SourceType>
    <b:Guid>{CA82DA72-F8D0-4E7F-9211-67ACD88B569F}</b:Guid>
    <b:Title>Absence of the palmaris longus muscle: a population study</b:Title>
    <b:JournalName>Ulster Medical Journal</b:JournalName>
    <b:Year>2001</b:Year>
    <b:Pages>22-24</b:Pages>
    <b:Volume>70</b:Volume>
    <b:Issue>1</b:Issue>
    <b:Author>
      <b:Author>
        <b:NameList>
          <b:Person>
            <b:Last>Thompson </b:Last>
            <b:Middle>W.</b:Middle>
            <b:First>N.</b:First>
          </b:Person>
          <b:Person>
            <b:Last>Mockford</b:Last>
            <b:Middle>J.</b:Middle>
            <b:First>B.</b:First>
          </b:Person>
          <b:Person>
            <b:Last>Cran</b:Last>
            <b:Middle>W.</b:Middle>
            <b:First>G.</b:First>
          </b:Person>
        </b:NameList>
      </b:Author>
    </b:Author>
    <b:RefOrder>9</b:RefOrder>
  </b:Source>
  <b:Source>
    <b:Tag>Ndo10</b:Tag>
    <b:SourceType>JournalArticle</b:SourceType>
    <b:Guid>{0EB7CDD2-F966-4D49-9C27-ED6CB9442340}</b:Guid>
    <b:Title>Study of frequency of  absence of palmaris longus in a South African population of mixed race.  </b:Title>
    <b:JournalName>Clinical anatomy</b:JournalName>
    <b:Year>2010</b:Year>
    <b:Pages>437-442</b:Pages>
    <b:Volume>23</b:Volume>
    <b:Author>
      <b:Author>
        <b:NameList>
          <b:Person>
            <b:Last>Ndou </b:Last>
            <b:First>R.</b:First>
          </b:Person>
          <b:Person>
            <b:Last>Ramirez  </b:Last>
            <b:First>D.</b:First>
          </b:Person>
          <b:Person>
            <b:Last>Deana </b:Last>
            <b:Middle>F.</b:Middle>
            <b:First>N.</b:First>
          </b:Person>
        </b:NameList>
      </b:Author>
    </b:Author>
    <b:RefOrder>11</b:RefOrder>
  </b:Source>
  <b:Source>
    <b:Tag>Gan09</b:Tag>
    <b:SourceType>JournalArticle</b:SourceType>
    <b:Guid>{4B36943F-4D8E-4C9D-8086-03A5BA766F04}</b:Guid>
    <b:Title>The clinical surface anomalies of the palmaris longus muscle in the Black African population of Zimbabwe and a proposed new testing technique</b:Title>
    <b:JournalName>Clinical Anatomy</b:JournalName>
    <b:Year>2009</b:Year>
    <b:Pages>230-235</b:Pages>
    <b:Volume>22</b:Volume>
    <b:Author>
      <b:Author>
        <b:NameList>
          <b:Person>
            <b:Last>Gangata </b:Last>
            <b:First>H..</b:First>
          </b:Person>
        </b:NameList>
      </b:Author>
    </b:Author>
    <b:RefOrder>12</b:RefOrder>
  </b:Source>
  <b:Source>
    <b:Tag>Kig11</b:Tag>
    <b:SourceType>JournalArticle</b:SourceType>
    <b:Guid>{FF5E9FBE-105B-4099-BA8A-920EB29C628A}</b:Guid>
    <b:Title>Frequency of agenesis of palmaris longus through clinical examination – An East African study</b:Title>
    <b:JournalName>PLoS One</b:JournalName>
    <b:Year>2011</b:Year>
    <b:Pages>e28997 </b:Pages>
    <b:Volume>6</b:Volume>
    <b:Issue>12</b:Issue>
    <b:Author>
      <b:Author>
        <b:NameList>
          <b:Person>
            <b:Last>Kigera </b:Last>
            <b:Middle>W.</b:Middle>
            <b:First>J.</b:First>
          </b:Person>
          <b:Person>
            <b:Last>Mukwaya</b:Last>
            <b:First>S.</b:First>
          </b:Person>
        </b:NameList>
      </b:Author>
    </b:Author>
    <b:RefOrder>13</b:RefOrder>
  </b:Source>
  <b:Source>
    <b:Tag>Lam17</b:Tag>
    <b:SourceType>JournalArticle</b:SourceType>
    <b:Guid>{84D630F0-5F18-447D-BC89-DA2492BC65A7}</b:Guid>
    <b:Title>Study on palmaris longus muscle tendon agenesis among first year Filipino medical students. </b:Title>
    <b:JournalName>Journal of Gandaki Medical College Nepal</b:JournalName>
    <b:Year>2017</b:Year>
    <b:Pages>17-20</b:Pages>
    <b:Volume>10</b:Volume>
    <b:Issue>1</b:Issue>
    <b:Author>
      <b:Author>
        <b:NameList>
          <b:Person>
            <b:Last>Lamichhane </b:Last>
            <b:Middle>S.</b:Middle>
            <b:First>P.</b:First>
          </b:Person>
          <b:Person>
            <b:Last>Sharma </b:Last>
            <b:First>K.</b:First>
          </b:Person>
          <b:Person>
            <b:Last>Lamichhane </b:Last>
            <b:First>N.</b:First>
          </b:Person>
        </b:NameList>
      </b:Author>
    </b:Author>
    <b:RefOrder>14</b:RefOrder>
  </b:Source>
  <b:Source>
    <b:Tag>Seb05</b:Tag>
    <b:SourceType>JournalArticle</b:SourceType>
    <b:Guid>{AF46982A-06FB-419C-9945-9286F1AFFF9F}</b:Guid>
    <b:Title>The prevalence of absence of the palmaris longus--a study in a Chinese population and a review of the literature</b:Title>
    <b:JournalName>Journal of Hand Surgery</b:JournalName>
    <b:Year>2005</b:Year>
    <b:Pages>525-527</b:Pages>
    <b:Volume>30</b:Volume>
    <b:Issue>5</b:Issue>
    <b:Author>
      <b:Author>
        <b:NameList>
          <b:Person>
            <b:Last>Sebastin</b:Last>
            <b:Middle>J.</b:Middle>
            <b:First>S.</b:First>
          </b:Person>
          <b:Person>
            <b:Last>Puhaindran</b:Last>
            <b:Middle>E.</b:Middle>
            <b:First>M.</b:First>
          </b:Person>
          <b:Person>
            <b:Last>Lim</b:Last>
            <b:Middle>Y.</b:Middle>
            <b:First>A.</b:First>
          </b:Person>
          <b:Person>
            <b:Last>Bee</b:Last>
            <b:Middle>H.</b:Middle>
            <b:First>W.</b:First>
          </b:Person>
        </b:NameList>
      </b:Author>
    </b:Author>
    <b:RefOrder>15</b:RefOrder>
  </b:Source>
  <b:Source>
    <b:Tag>Kap08</b:Tag>
    <b:SourceType>JournalArticle</b:SourceType>
    <b:Guid>{880897FD-E10C-4BEB-9717-CC88CE5BCCAA}</b:Guid>
    <b:Title>Clinical relevance of palmaris longus agenesis: Common anatomical aberration.</b:Title>
    <b:JournalName>Anatomical Science International</b:JournalName>
    <b:Year>2008</b:Year>
    <b:Pages>45-48</b:Pages>
    <b:Volume>83</b:Volume>
    <b:Author>
      <b:Author>
        <b:NameList>
          <b:Person>
            <b:Last>Kapoor</b:Last>
            <b:Middle>K.</b:Middle>
            <b:First>S.</b:First>
          </b:Person>
          <b:Person>
            <b:Last>Tiwari</b:Last>
            <b:First>A.</b:First>
          </b:Person>
          <b:Person>
            <b:Last>Kumar</b:Last>
            <b:First>A.</b:First>
          </b:Person>
          <b:Person>
            <b:Last>Bhatia </b:Last>
            <b:First>R.</b:First>
          </b:Person>
          <b:Person>
            <b:Last>Tantuway</b:Last>
            <b:First>V.</b:First>
          </b:Person>
          <b:Person>
            <b:Last>Kapoor</b:Last>
            <b:First>S.</b:First>
          </b:Person>
        </b:NameList>
      </b:Author>
    </b:Author>
    <b:RefOrder>16</b:RefOrder>
  </b:Source>
  <b:Source>
    <b:Tag>Dra15</b:Tag>
    <b:SourceType>Book</b:SourceType>
    <b:Guid>{BD779317-9162-4E49-9CB6-CB4F8BBB0772}</b:Guid>
    <b:Title>Gray’s Anatomy for students</b:Title>
    <b:Year>2015</b:Year>
    <b:Pages>776-781</b:Pages>
    <b:Author>
      <b:Author>
        <b:NameList>
          <b:Person>
            <b:Last>Drake </b:Last>
            <b:Middle>L.</b:Middle>
            <b:First>R.</b:First>
          </b:Person>
          <b:Person>
            <b:Last>Vogl</b:Last>
            <b:Middle>W.</b:Middle>
            <b:First>A.</b:First>
          </b:Person>
          <b:Person>
            <b:Last>Mitchel </b:Last>
            <b:Middle>V.</b:Middle>
            <b:First>A.</b:First>
          </b:Person>
        </b:NameList>
      </b:Author>
    </b:Author>
    <b:City>Philadelphia</b:City>
    <b:Publisher>Churchill Livingstone Elsevier.</b:Publisher>
    <b:Edition>3rd</b:Edition>
    <b:RefOrder>17</b:RefOrder>
  </b:Source>
  <b:Source>
    <b:Tag>Hiz11</b:Tag>
    <b:SourceType>JournalArticle</b:SourceType>
    <b:Guid>{D484C0B4-EA7A-41F4-AEFD-07AD48083267}</b:Guid>
    <b:Title>Prevalence of the absence of palmaris longus muscle assessed by a new examination (Hiz-Ediz Test) in the population residing in the area of Van, Turkey</b:Title>
    <b:Year>2011</b:Year>
    <b:JournalName>Journal of  Clinical and Experimental Investigation</b:JournalName>
    <b:Pages>254-259</b:Pages>
    <b:Author>
      <b:Author>
        <b:NameList>
          <b:Person>
            <b:Last>Hiz</b:Last>
            <b:First>O.</b:First>
          </b:Person>
          <b:Person>
            <b:Last>Ediz </b:Last>
            <b:First>L.</b:First>
          </b:Person>
          <b:Person>
            <b:Last>Ceylan </b:Last>
            <b:Middle>F.</b:Middle>
            <b:First>M.</b:First>
          </b:Person>
          <b:Person>
            <b:Last>Gezici </b:Last>
            <b:First>E.</b:First>
          </b:Person>
          <b:Person>
            <b:Last>Gulcu</b:Last>
            <b:First>E.</b:First>
          </b:Person>
          <b:Person>
            <b:Last>Erden </b:Last>
            <b:First>M.</b:First>
          </b:Person>
        </b:NameList>
      </b:Author>
    </b:Author>
    <b:RefOrder>18</b:RefOrder>
  </b:Source>
  <b:Source>
    <b:Tag>Alv11</b:Tag>
    <b:SourceType>JournalArticle</b:SourceType>
    <b:Guid>{77D6B029-EE0C-4255-A990-5A67F46FDFA8}</b:Guid>
    <b:Title>Study of frequency of palmaris longus in Chilean subjects</b:Title>
    <b:Year>2011</b:Year>
    <b:JournalName>International Journal of Morphology</b:JournalName>
    <b:Pages>485-489</b:Pages>
    <b:Volume>29</b:Volume>
    <b:Issue>2</b:Issue>
    <b:Author>
      <b:Author>
        <b:NameList>
          <b:Person>
            <b:Last>Alves</b:Last>
            <b:First>N.</b:First>
          </b:Person>
          <b:Person>
            <b:Last>Ramirez</b:Last>
            <b:First>D.</b:First>
          </b:Person>
          <b:Person>
            <b:Last>Deana</b:Last>
            <b:Middle>F.</b:Middle>
            <b:First>N.</b:First>
          </b:Person>
        </b:NameList>
      </b:Author>
    </b:Author>
    <b:RefOrder>19</b:RefOrder>
  </b:Source>
  <b:Source>
    <b:Tag>Lah13</b:Tag>
    <b:SourceType>JournalArticle</b:SourceType>
    <b:Guid>{E340F12E-C159-45E2-BB5E-5634A52D77EE}</b:Guid>
    <b:Title>Prevalence of Palmaris Longus Agenesis in a Hospital in Iran </b:Title>
    <b:JournalName>Archives of Iranian Medicine</b:JournalName>
    <b:Year>2013</b:Year>
    <b:Pages>187-188</b:Pages>
    <b:Volume>16</b:Volume>
    <b:Issue>3</b:Issue>
    <b:Author>
      <b:Author>
        <b:NameList>
          <b:Person>
            <b:Last>Lahiji</b:Last>
            <b:First>F.</b:First>
          </b:Person>
          <b:Person>
            <b:Last>Ashoori</b:Last>
            <b:First>K.</b:First>
          </b:Person>
          <b:Person>
            <b:Last>Dahmardehei</b:Last>
            <b:First>M.</b:First>
          </b:Person>
        </b:NameList>
      </b:Author>
    </b:Author>
    <b:RefOrder>20</b:RefOrder>
  </b:Source>
  <b:Source>
    <b:Tag>Tho012</b:Tag>
    <b:SourceType>JournalArticle</b:SourceType>
    <b:Guid>{B85E2FA0-1FA1-4D14-8DE3-542FA079CFBC}</b:Guid>
    <b:Title>Absence of the palmaris longus muscle: a population study. </b:Title>
    <b:JournalName>Ulster Medical Journal</b:JournalName>
    <b:Year>2001</b:Year>
    <b:Pages>22-24</b:Pages>
    <b:Volume>70</b:Volume>
    <b:Issue>1</b:Issue>
    <b:Author>
      <b:Author>
        <b:NameList>
          <b:Person>
            <b:Last>Thompson </b:Last>
            <b:Middle>W.</b:Middle>
            <b:First>N.</b:First>
          </b:Person>
          <b:Person>
            <b:Last>Mockford </b:Last>
            <b:Middle>J.</b:Middle>
            <b:First>B.</b:First>
          </b:Person>
          <b:Person>
            <b:Last>Cran  </b:Last>
            <b:Middle>W.</b:Middle>
            <b:First>G.</b:First>
          </b:Person>
        </b:NameList>
      </b:Author>
    </b:Author>
    <b:RefOrder>21</b:RefOrder>
  </b:Source>
  <b:Source>
    <b:Tag>Dev11</b:Tag>
    <b:SourceType>JournalArticle</b:SourceType>
    <b:Guid>{B376F302-7D33-4214-9BC3-4CA5EF0C08FE}</b:Guid>
    <b:Title> Incidence of agenesis of palmaris longus in the Andhra population of India.</b:Title>
    <b:JournalName>Indian Jounal of Plastic Surgery</b:JournalName>
    <b:Year>2011</b:Year>
    <b:Pages>134-138</b:Pages>
    <b:Volume>44</b:Volume>
    <b:Issue>1</b:Issue>
    <b:Author>
      <b:Author>
        <b:NameList>
          <b:Person>
            <b:Last>Devi Sanka </b:Last>
            <b:First>K.</b:First>
          </b:Person>
          <b:Person>
            <b:Last>Bhanu </b:Last>
            <b:Middle>S.</b:Middle>
            <b:First>P.</b:First>
          </b:Person>
          <b:Person>
            <b:Last>John </b:Last>
            <b:Middle>P.</b:Middle>
            <b:First>S.</b:First>
          </b:Person>
        </b:NameList>
      </b:Author>
    </b:Author>
    <b:RefOrder>22</b:RefOrder>
  </b:Source>
  <b:Source>
    <b:Tag>Ala18</b:Tag>
    <b:SourceType>JournalArticle</b:SourceType>
    <b:Guid>{93588386-FF2A-4F0A-9C52-65ED72A12FD5}</b:Guid>
    <b:Title>The frequency of palmaris longus absence among female students  in King Faisal University in Al-Ahsa, Saudi Aradia. </b:Title>
    <b:JournalName>Egyptian Journal of Health and Medicine</b:JournalName>
    <b:Year>2018</b:Year>
    <b:Pages>1959 – 1962</b:Pages>
    <b:Volume>70</b:Volume>
    <b:Issue>11</b:Issue>
    <b:Author>
      <b:Author>
        <b:NameList>
          <b:Person>
            <b:Last>Alabbad </b:Last>
            <b:Middle>A.</b:Middle>
            <b:First>A.</b:First>
          </b:Person>
          <b:Person>
            <b:Last>Marwah</b:Last>
            <b:Middle>A.</b:Middle>
            <b:First>H.</b:First>
          </b:Person>
          <b:Person>
            <b:Last>Marwah </b:Last>
            <b:First>S.</b:First>
          </b:Person>
          <b:Person>
            <b:Last>Alahmad </b:Last>
            <b:Middle>A.</b:Middle>
            <b:First>S.</b:First>
          </b:Person>
        </b:NameList>
      </b:Author>
    </b:Author>
    <b:RefOrder>23</b:RefOrder>
  </b:Source>
  <b:Source>
    <b:Tag>Cey97</b:Tag>
    <b:SourceType>JournalArticle</b:SourceType>
    <b:Guid>{65613DFB-5A3B-47FC-A165-8A46A1946A08}</b:Guid>
    <b:Title>Distribution of agenesis  of palmaris longus in 12 to 18 years old age groups. </b:Title>
    <b:JournalName>Indian Journal Medical Sciences</b:JournalName>
    <b:Year>1997</b:Year>
    <b:Pages>156-160</b:Pages>
    <b:Volume>51</b:Volume>
    <b:Issue>5</b:Issue>
    <b:Author>
      <b:Author>
        <b:NameList>
          <b:Person>
            <b:Last>Ceyhan </b:Last>
            <b:First>O.</b:First>
          </b:Person>
          <b:Person>
            <b:Last>Mavt </b:Last>
            <b:First>A.</b:First>
          </b:Person>
        </b:NameList>
      </b:Author>
    </b:Author>
    <b:RefOrder>24</b:RefOrder>
  </b:Source>
  <b:Source>
    <b:Tag>Mba09</b:Tag>
    <b:SourceType>JournalArticle</b:SourceType>
    <b:Guid>{36654B6C-90C8-4480-8368-C4FFC87EB741}</b:Guid>
    <b:Title>Prevalence of palmaris longus absence – a study in the Yoruba population</b:Title>
    <b:JournalName>Ulster Medical Journal</b:JournalName>
    <b:Year>2009</b:Year>
    <b:Pages>90-93</b:Pages>
    <b:Volume>78</b:Volume>
    <b:Issue>2</b:Issue>
    <b:Author>
      <b:Author>
        <b:NameList>
          <b:Person>
            <b:Last>Mbaka </b:Last>
            <b:Middle>O.</b:Middle>
            <b:First>G.</b:First>
          </b:Person>
          <b:Person>
            <b:Last>Ejiwunmi</b:Last>
            <b:Middle>B.</b:Middle>
            <b:First>A.</b:First>
          </b:Person>
        </b:NameList>
      </b:Author>
    </b:Author>
    <b:RefOrder>25</b:RefOrder>
  </b:Source>
  <b:Source>
    <b:Tag>Ade123</b:Tag>
    <b:SourceType>JournalArticle</b:SourceType>
    <b:Guid>{E636A42D-BC1A-4A32-9C19-EB7A52097DC2}</b:Guid>
    <b:Title>Agenesis of palmaris longus muscle in selected population of school childres in Nigera.</b:Title>
    <b:JournalName>International Journal of Morphology</b:JournalName>
    <b:Year>2012</b:Year>
    <b:Pages>1593-1596</b:Pages>
    <b:Volume>30</b:Volume>
    <b:Issue>4</b:Issue>
    <b:Author>
      <b:Author>
        <b:NameList>
          <b:Person>
            <b:Last>Adejuwon</b:Last>
            <b:Middle>A.</b:Middle>
            <b:First>S.</b:First>
          </b:Person>
          <b:Person>
            <b:Last>Salawu</b:Last>
            <b:Middle>T.</b:Middle>
            <b:First>O.</b:First>
          </b:Person>
          <b:Person>
            <b:Last>Ajibola </b:Last>
            <b:First>B.</b:First>
          </b:Person>
        </b:NameList>
      </b:Author>
    </b:Author>
    <b:RefOrder>26</b:RefOrder>
  </b:Source>
  <b:Source>
    <b:Tag>Kyu12</b:Tag>
    <b:SourceType>JournalArticle</b:SourceType>
    <b:Guid>{42DD52D1-3F9A-4986-84C4-CA2763611291}</b:Guid>
    <b:Title>Different frequency of the absence of the palmaris longus according to assessment methods in a Korean population</b:Title>
    <b:JournalName>Anatomy and Cell Biology</b:JournalName>
    <b:Year>2012</b:Year>
    <b:Pages>53–56</b:Pages>
    <b:Volume>45</b:Volume>
    <b:Issue>1</b:Issue>
    <b:Author>
      <b:Author>
        <b:NameList>
          <b:Person>
            <b:Last>Kyung</b:Last>
            <b:First>D.</b:First>
          </b:Person>
          <b:Person>
            <b:Last>Lee</b:Last>
            <b:First>J.</b:First>
          </b:Person>
          <b:Person>
            <b:Last>Choi</b:Last>
            <b:First>I.</b:First>
          </b:Person>
          <b:Person>
            <b:Last>Kim</b:Last>
            <b:First>D.</b:First>
          </b:Person>
        </b:NameList>
      </b:Author>
    </b:Author>
    <b:RefOrder>27</b:RefOrder>
  </b:Source>
  <b:Source>
    <b:Tag>Roo07</b:Tag>
    <b:SourceType>JournalArticle</b:SourceType>
    <b:Guid>{BD0D0DF8-4977-4A2A-B272-C1F436B07C7D}</b:Guid>
    <b:Title>A study on the absence of palmaris longus in a multi-racial population.</b:Title>
    <b:JournalName>Malaysian Orthop Journal</b:JournalName>
    <b:Year>2007</b:Year>
    <b:Pages>26-28</b:Pages>
    <b:Volume>1</b:Volume>
    <b:Issue>1</b:Issue>
    <b:Author>
      <b:Author>
        <b:NameList>
          <b:Person>
            <b:Last>Roohi </b:Last>
            <b:Middle>A.</b:Middle>
            <b:First>S.</b:First>
          </b:Person>
          <b:Person>
            <b:Last>Choon-Sian </b:Last>
            <b:First>L.</b:First>
          </b:Person>
          <b:Person>
            <b:Last>Shalimar </b:Last>
            <b:First>A.</b:First>
          </b:Person>
          <b:Person>
            <b:Last>Tan </b:Last>
            <b:Middle>H.</b:Middle>
            <b:First>G.</b:First>
          </b:Person>
          <b:Person>
            <b:Last>Naicker </b:Last>
            <b:Middle>S.</b:Middle>
            <b:First>A.</b:First>
          </b:Person>
          <b:Person>
            <b:Last>Rehab</b:Last>
            <b:Middle>M.</b:Middle>
            <b:First>M.</b:First>
          </b:Person>
        </b:NameList>
      </b:Author>
    </b:Author>
    <b:RefOrder>28</b:RefOrder>
  </b:Source>
  <b:Source>
    <b:Tag>Abl14</b:Tag>
    <b:SourceType>JournalArticle</b:SourceType>
    <b:Guid>{AFE8DC79-ACFC-49F2-A689-8AC0514643FD}</b:Guid>
    <b:Title>Prevalence of agenesis of palmaris longus and its association with gender, body side, handedness and other anomalies of the  forearm in a student population in Ghana</b:Title>
    <b:JournalName>Rawal Medical Journal</b:JournalName>
    <b:Year>2014</b:Year>
    <b:Pages>203-207</b:Pages>
    <b:Volume>39</b:Volume>
    <b:Issue>2</b:Issue>
    <b:Author>
      <b:Author>
        <b:NameList>
          <b:Person>
            <b:Last>Abledu </b:Last>
            <b:Middle>K.</b:Middle>
            <b:First>J.</b:First>
          </b:Person>
          <b:Person>
            <b:Last>Offei</b:Last>
            <b:Middle>B.</b:Middle>
            <b:First>E.</b:First>
          </b:Person>
        </b:NameList>
      </b:Author>
    </b:Author>
    <b:RefOrder>29</b:RefOrder>
  </b:Source>
  <b:Source>
    <b:Tag>Coo23</b:Tag>
    <b:SourceType>Book</b:SourceType>
    <b:Guid>{F0F943AB-FA49-4222-B7C9-8FA18CFB1642}</b:Guid>
    <b:Title>Anatomy, Shoulder and Upper Limb, Hand Palmaris Tendon</b:Title>
    <b:Year>2023</b:Year>
    <b:Author>
      <b:Author>
        <b:NameList>
          <b:Person>
            <b:Last>Cooper</b:Last>
            <b:Middle>W.</b:Middle>
            <b:First>D.</b:First>
          </b:Person>
          <b:Person>
            <b:Last>Burns</b:Last>
            <b:First>B.</b:First>
          </b:Person>
        </b:NameList>
      </b:Author>
    </b:Author>
    <b:JournalName>StatPearls [Internet]</b:JournalName>
    <b:City>East Tennessee</b:City>
    <b:Publisher>Treasure Island (FL): StatPearls Publishing</b:Publisher>
    <b:RefOrder>31</b:RefOrder>
  </b:Source>
  <b:Source>
    <b:Tag>Nat12</b:Tag>
    <b:SourceType>JournalArticle</b:SourceType>
    <b:Guid>{664CB897-0BAE-4160-90F6-EAB707418807}</b:Guid>
    <b:Title>Fleshy palmaris longus muscle - a cadaveric finding and its clinical significance: a case report</b:Title>
    <b:Year>2012</b:Year>
    <b:Author>
      <b:Author>
        <b:NameList>
          <b:Person>
            <b:Last>Natsis</b:Last>
            <b:First>K.</b:First>
          </b:Person>
          <b:Person>
            <b:Last>Didagelos</b:Last>
            <b:First>M.</b:First>
          </b:Person>
          <b:Person>
            <b:Last>Manoli</b:Last>
            <b:Middle>M.</b:Middle>
            <b:First>S.</b:First>
          </b:Person>
          <b:Person>
            <b:Last>Vlasis</b:Last>
            <b:First>K.</b:First>
          </b:Person>
          <b:Person>
            <b:Last>Papathanasiou</b:Last>
            <b:First>E.</b:First>
          </b:Person>
          <b:Person>
            <b:Last>Sofidis</b:Last>
            <b:First>G.</b:First>
          </b:Person>
          <b:Person>
            <b:Last>Nerantzidou</b:Last>
            <b:First>X.</b:First>
          </b:Person>
        </b:NameList>
      </b:Author>
    </b:Author>
    <b:JournalName>Hippokratia</b:JournalName>
    <b:Pages>378–380</b:Pages>
    <b:Volume>16</b:Volume>
    <b:Issue>4</b:Issue>
    <b:RefOrder>32</b:RefOrder>
  </b:Source>
  <b:Source>
    <b:Tag>Vas23</b:Tag>
    <b:SourceType>InternetSite</b:SourceType>
    <b:Guid>{4AB1D281-CF47-4074-A7D5-1A77E37A77C2}</b:Guid>
    <b:Title>Kenhub</b:Title>
    <b:Year>2023</b:Year>
    <b:Author>
      <b:Author>
        <b:NameList>
          <b:Person>
            <b:Last>Vaskovi</b:Last>
            <b:First>J.</b:First>
          </b:Person>
        </b:NameList>
      </b:Author>
    </b:Author>
    <b:YearAccessed>2023</b:YearAccessed>
    <b:MonthAccessed>15th</b:MonthAccessed>
    <b:DayAccessed>November</b:DayAccessed>
    <b:URL>kenhub.com/en/library/anatomy/palmaris-longus-muscle</b:URL>
    <b:RefOrder>33</b:RefOrder>
  </b:Source>
  <b:Source>
    <b:Tag>Sil10</b:Tag>
    <b:SourceType>JournalArticle</b:SourceType>
    <b:Guid>{753E4806-2051-439F-AEF6-6635116A09A1}</b:Guid>
    <b:Title>Ethnicity-Related Skeletal Muscle Differences Across the Lifespan</b:Title>
    <b:Year>2010</b:Year>
    <b:Author>
      <b:Author>
        <b:NameList>
          <b:Person>
            <b:Last>Silva</b:Last>
            <b:Middle>M.</b:Middle>
            <b:First>A.</b:First>
          </b:Person>
          <b:Person>
            <b:Last>Shen</b:Last>
            <b:First>W.</b:First>
          </b:Person>
          <b:Person>
            <b:Last>Heo</b:Last>
            <b:First>M.</b:First>
          </b:Person>
          <b:Person>
            <b:Last>Gallagher</b:Last>
            <b:First>D.</b:First>
          </b:Person>
          <b:Person>
            <b:Last>Wang</b:Last>
            <b:First>Z.</b:First>
          </b:Person>
          <b:Person>
            <b:Last>Sardinha</b:Last>
            <b:Middle>B.</b:Middle>
            <b:First>L.</b:First>
          </b:Person>
          <b:Person>
            <b:Last>Heymsfield</b:Last>
            <b:Middle>B.</b:Middle>
            <b:First>S.</b:First>
          </b:Person>
        </b:NameList>
      </b:Author>
    </b:Author>
    <b:JournalName>American Journal of Human Biology</b:JournalName>
    <b:Pages>76–82</b:Pages>
    <b:Volume>22</b:Volume>
    <b:Issue>1</b:Issue>
    <b:RefOrder>34</b:RefOrder>
  </b:Source>
  <b:Source>
    <b:Tag>Rot12</b:Tag>
    <b:SourceType>JournalArticle</b:SourceType>
    <b:Guid>{96F9F7BA-359C-4F6B-917C-188AA4EA2EB4}</b:Guid>
    <b:Title>Genetic aspects of skeletal muscle strength and mass with relevance to sarcopenia</b:Title>
    <b:JournalName>Bonekey Reports</b:JournalName>
    <b:Year>2012</b:Year>
    <b:Pages>58</b:Pages>
    <b:Volume>1</b:Volume>
    <b:Author>
      <b:Author>
        <b:NameList>
          <b:Person>
            <b:Last>Rotha</b:Last>
            <b:Middle>M.</b:Middle>
            <b:First>S.</b:First>
          </b:Person>
        </b:NameList>
      </b:Author>
    </b:Author>
    <b:RefOrder>35</b:RefOrder>
  </b:Source>
  <b:Source>
    <b:Tag>Don21</b:Tag>
    <b:SourceType>JournalArticle</b:SourceType>
    <b:Guid>{A8D34009-1AC0-480B-A351-E48237C74E3E}</b:Guid>
    <b:Title>Population Genetic Polymorphism of Skeletal Muscle Strength Related Genes in Five Ethnic Minorities in North China</b:Title>
    <b:JournalName>Frontiers in Genetics</b:JournalName>
    <b:Year>2021</b:Year>
    <b:Volume>12</b:Volume>
    <b:Author>
      <b:Author>
        <b:NameList>
          <b:Person>
            <b:Last>Dong</b:Last>
            <b:First>B.</b:First>
          </b:Person>
          <b:Person>
            <b:Last>Li</b:Last>
            <b:First>Q.</b:First>
          </b:Person>
          <b:Person>
            <b:Last>Zhang</b:Last>
            <b:First>T.</b:First>
          </b:Person>
          <b:Person>
            <b:Last>Liang</b:Last>
            <b:First>X.</b:First>
          </b:Person>
          <b:Person>
            <b:Last>Jia</b:Last>
            <b:First>M.</b:First>
          </b:Person>
          <b:Person>
            <b:Last>Fu</b:Last>
            <b:First>Y.</b:First>
          </b:Person>
          <b:Person>
            <b:Last>Bai</b:Last>
            <b:First>J.</b:First>
          </b:Person>
          <b:Person>
            <b:Last>Fu</b:Last>
            <b:First>S.</b:First>
          </b:Person>
        </b:NameList>
      </b:Author>
    </b:Author>
    <b:RefOrder>36</b:RefOrder>
  </b:Source>
  <b:Source>
    <b:Tag>Tho01</b:Tag>
    <b:SourceType>JournalArticle</b:SourceType>
    <b:Guid>{117CE96D-F9F2-40C6-9512-7A4F69CE9699}</b:Guid>
    <b:Title>Absence of the palmaris longus muscle: a population study.</b:Title>
    <b:JournalName>The ulster medical journal</b:JournalName>
    <b:Year>2001</b:Year>
    <b:Pages>22-24</b:Pages>
    <b:Volume>70</b:Volume>
    <b:Issue>1</b:Issue>
    <b:Author>
      <b:Author>
        <b:NameList>
          <b:Person>
            <b:Last>Thompson</b:Last>
            <b:Middle>W.</b:Middle>
            <b:First>N.</b:First>
          </b:Person>
        </b:NameList>
      </b:Author>
    </b:Author>
    <b:RefOrder>37</b:RefOrder>
  </b:Source>
  <b:Source>
    <b:Tag>Geo17</b:Tag>
    <b:SourceType>JournalArticle</b:SourceType>
    <b:Guid>{32108864-E932-491D-BE85-66FB198AD302}</b:Guid>
    <b:Title>Palmaris Longus Muscle Variations: Clinical Significance and Proposal of New Classifications</b:Title>
    <b:Year>2017</b:Year>
    <b:Author>
      <b:Author>
        <b:NameList>
          <b:Person>
            <b:Last>Georgiev </b:Last>
            <b:Middle>P.</b:Middle>
            <b:First>G.</b:First>
          </b:Person>
          <b:Person>
            <b:Last>Iliev </b:Last>
            <b:Middle>A.</b:Middle>
            <b:First>A.</b:First>
          </b:Person>
          <b:Person>
            <b:Last>Dimitrova </b:Last>
            <b:Middle>N.</b:Middle>
            <b:First>I.</b:First>
          </b:Person>
          <b:Person>
            <b:Last>Kotov </b:Last>
            <b:Middle>N.</b:Middle>
            <b:First>G.</b:First>
          </b:Person>
          <b:Person>
            <b:Last>Malinova </b:Last>
            <b:Middle>G.</b:Middle>
            <b:First>L.</b:First>
          </b:Person>
          <b:Person>
            <b:Last>Landzhov</b:Last>
            <b:Middle>V.</b:Middle>
            <b:First>B.</b:First>
          </b:Person>
        </b:NameList>
      </b:Author>
    </b:Author>
    <b:JournalName>Folia Medica (Plovdiv)</b:JournalName>
    <b:Pages>289-297</b:Pages>
    <b:Volume>59</b:Volume>
    <b:Issue>3</b:Issue>
    <b:RefOrder>38</b:RefOrder>
  </b:Source>
  <b:Source>
    <b:Tag>Ole17</b:Tag>
    <b:SourceType>JournalArticle</b:SourceType>
    <b:Guid>{EA271AA8-4919-44F2-BAE7-86C5589C4660}</b:Guid>
    <b:Title>Anatomical variations of the palmaris longus muscle including its relation to the median nerve – a proposal for a new classification</b:Title>
    <b:JournalName>BMC Musculoskeletal Disorders</b:JournalName>
    <b:Year>2017</b:Year>
    <b:Pages>539</b:Pages>
    <b:Volume>18</b:Volume>
    <b:Author>
      <b:Author>
        <b:NameList>
          <b:Person>
            <b:Last>Olewnik</b:Last>
            <b:First>L.</b:First>
          </b:Person>
          <b:Person>
            <b:Last>Wysiadecki</b:Last>
            <b:First>G.</b:First>
          </b:Person>
          <b:Person>
            <b:Last>Polguj</b:Last>
            <b:First>M.</b:First>
          </b:Person>
          <b:Person>
            <b:Last>Podgórski</b:Last>
            <b:First>M.</b:First>
          </b:Person>
          <b:Person>
            <b:Last>Jezierski</b:Last>
            <b:First>H.</b:First>
          </b:Person>
          <b:Person>
            <b:Last>Topol </b:Last>
            <b:First>M.</b:First>
          </b:Person>
        </b:NameList>
      </b:Author>
    </b:Author>
    <b:RefOrder>39</b:RefOrder>
  </b:Source>
  <b:Source>
    <b:Tag>Ioa15</b:Tag>
    <b:SourceType>JournalArticle</b:SourceType>
    <b:Guid>{B87AA099-87DC-4587-9499-E4E7222D158E}</b:Guid>
    <b:Title>Palmaris Longus Muscle’s Prevalence in Different Nations and Interesting Anatomical Variations: Review of the Literature</b:Title>
    <b:JournalName>Journal of Clinical Medicine Research</b:JournalName>
    <b:Year>2015</b:Year>
    <b:Pages>825–830</b:Pages>
    <b:Volume>7</b:Volume>
    <b:Issue>11</b:Issue>
    <b:Author>
      <b:Author>
        <b:NameList>
          <b:Person>
            <b:Last>Ioannis</b:Last>
            <b:First>D.</b:First>
          </b:Person>
          <b:Person>
            <b:Last>Anastasios</b:Last>
            <b:First>K.</b:First>
          </b:Person>
          <b:Person>
            <b:Last>Konstantinos</b:Last>
            <b:First>N.</b:First>
          </b:Person>
          <b:Person>
            <b:Last>Lazaros</b:Last>
            <b:First>K.</b:First>
          </b:Person>
          <b:Person>
            <b:Last>Georgiosa</b:Last>
            <b:First>N.</b:First>
          </b:Person>
        </b:NameList>
      </b:Author>
    </b:Author>
    <b:RefOrder>40</b:RefOrder>
  </b:Source>
  <b:Source>
    <b:Tag>Bri23</b:Tag>
    <b:SourceType>InternetSite</b:SourceType>
    <b:Guid>{D9F6CB38-459F-4EB8-B01D-FD64E53EB823}</b:Guid>
    <b:Title>Encyclopedia Britannica</b:Title>
    <b:Year>2023</b:Year>
    <b:Author>
      <b:Author>
        <b:NameList>
          <b:Person>
            <b:Last>Britannica</b:Last>
          </b:Person>
        </b:NameList>
      </b:Author>
    </b:Author>
    <b:YearAccessed>2023</b:YearAccessed>
    <b:MonthAccessed>November</b:MonthAccessed>
    <b:DayAccessed>15th</b:DayAccessed>
    <b:URL>https://www.britannica.com/topic/Hausa</b:URL>
    <b:RefOrder>41</b:RefOrder>
  </b:Source>
  <b:Source>
    <b:Tag>Ada19</b:Tag>
    <b:SourceType>Book</b:SourceType>
    <b:Guid>{AD3EA291-5D0A-4B53-8CB0-C5878D837EC9}</b:Guid>
    <b:Title> Sabon tarihin : asalin hausawa</b:Title>
    <b:Year>2019</b:Year>
    <b:City>Kano</b:City>
    <b:Publisher>MJB Printers</b:Publisher>
    <b:Edition>Bugu Na Biyu Ed.</b:Edition>
    <b:Author>
      <b:Author>
        <b:NameList>
          <b:Person>
            <b:Last>Adamu</b:Last>
            <b:Middle>U.</b:Middle>
            <b:First>M.</b:First>
          </b:Person>
        </b:NameList>
      </b:Author>
    </b:Author>
    <b:RefOrder>42</b:RefOrder>
  </b:Source>
  <b:Source>
    <b:Tag>Ada87</b:Tag>
    <b:SourceType>Book</b:SourceType>
    <b:Guid>{4E6177EF-AF93-4CA5-BF63-5F6699829C4A}</b:Guid>
    <b:Title> the Hausa factor in west African History</b:Title>
    <b:Year>1987</b:Year>
    <b:Publisher>Ahmadu Bello University</b:Publisher>
    <b:City>Zaria-Nigeria</b:City>
    <b:Author>
      <b:Author>
        <b:NameList>
          <b:Person>
            <b:Last>Adamu</b:Last>
            <b:First>M.</b:First>
          </b:Person>
        </b:NameList>
      </b:Author>
    </b:Author>
    <b:RefOrder>43</b:RefOrder>
  </b:Source>
  <b:Source>
    <b:Tag>Gus96</b:Tag>
    <b:SourceType>Book</b:SourceType>
    <b:Guid>{8E3859D0-6F98-4DB5-8E22-70C6321389A1}</b:Guid>
    <b:Title> Makad̳a da mawak̳an Hausa</b:Title>
    <b:Year>1996</b:Year>
    <b:City>Kaduna</b:City>
    <b:Edition>ISBN 978-31798-3-7</b:Edition>
    <b:Author>
      <b:Author>
        <b:NameList>
          <b:Person>
            <b:Last>Gusau</b:Last>
            <b:Middle>M.</b:Middle>
            <b:First>S.</b:First>
          </b:Person>
        </b:NameList>
      </b:Author>
    </b:Author>
    <b:RefOrder>44</b:RefOrder>
  </b:Source>
  <b:Source>
    <b:Tag>God22</b:Tag>
    <b:SourceType>Report</b:SourceType>
    <b:Guid>{037DED28-482D-461B-B193-979C5885CC76}</b:Guid>
    <b:Title>"Top 10 largest tribes in Africa"</b:Title>
    <b:Year>2022</b:Year>
    <b:Publisher>NewsWireNGR</b:Publisher>
    <b:Author>
      <b:Author>
        <b:NameList>
          <b:Person>
            <b:Last>Godwin</b:Last>
            <b:Middle>L.</b:Middle>
            <b:First>D.</b:First>
          </b:Person>
        </b:NameList>
      </b:Author>
    </b:Author>
    <b:RefOrder>45</b:RefOrder>
  </b:Source>
  <b:Source>
    <b:Tag>Koo96</b:Tag>
    <b:SourceType>Report</b:SourceType>
    <b:Guid>{5506E0A5-831D-4839-91A8-A38CA79D0B5F}</b:Guid>
    <b:Title>The role of the horse in Hausa culture</b:Title>
    <b:Year>1996</b:Year>
    <b:Publisher>Thesis</b:Publisher>
    <b:Author>
      <b:Author>
        <b:NameList>
          <b:Person>
            <b:Last>Koops</b:Last>
            <b:First>K.</b:First>
          </b:Person>
        </b:NameList>
      </b:Author>
    </b:Author>
    <b:RefOrder>46</b:RefOrder>
  </b:Source>
  <b:Source>
    <b:Tag>Lug</b:Tag>
    <b:SourceType>Book</b:SourceType>
    <b:Guid>{CF47386C-19CB-4FBA-B346-36EFFEFA5EEB}</b:Guid>
    <b:Title>The Great Province.</b:Title>
    <b:Publisher>lugga press</b:Publisher>
    <b:Author>
      <b:Author>
        <b:NameList>
          <b:Person>
            <b:Last>Lugga</b:Last>
            <b:Middle>A.</b:Middle>
            <b:First>S.</b:First>
          </b:Person>
        </b:NameList>
      </b:Author>
    </b:Author>
    <b:Pages>12–15</b:Pages>
    <b:Year>2004</b:Year>
    <b:RefOrder>47</b:RefOrder>
  </b:Source>
  <b:Source>
    <b:Tag>Par15</b:Tag>
    <b:SourceType>Book</b:SourceType>
    <b:Guid>{DFB688B4-EF0B-4608-8D31-3E1C8DF52DC4}</b:Guid>
    <b:Title>Hausa: (Niger, Nigeria</b:Title>
    <b:Year>2015</b:Year>
    <b:Publisher>The Rosen Publishing Group, Inc</b:Publisher>
    <b:Author>
      <b:Author>
        <b:NameList>
          <b:Person>
            <b:Last>Parris</b:Last>
            <b:Middle>G.</b:Middle>
            <b:First>R.</b:First>
          </b:Person>
        </b:NameList>
      </b:Author>
    </b:Author>
    <b:StandardNumber>ISBN 978-0-8239-1983-3</b:StandardNumber>
    <b:Pages>24</b:Pages>
    <b:RefOrder>48</b:RefOrder>
  </b:Source>
  <b:Source>
    <b:Tag>Ili07</b:Tag>
    <b:SourceType>Book</b:SourceType>
    <b:Guid>{8DCBF571-E4AA-437B-8E6A-981235E85977}</b:Guid>
    <b:Title>Africans: The History of a Continent.</b:Title>
    <b:Year>2007</b:Year>
    <b:Publisher>Cambridge University Press</b:Publisher>
    <b:Author>
      <b:Author>
        <b:NameList>
          <b:Person>
            <b:Last>Iliffe</b:Last>
            <b:First>J.</b:First>
          </b:Person>
        </b:NameList>
      </b:Author>
    </b:Author>
    <b:StandardNumber>ISBN 978-0-521-86438-1</b:StandardNumber>
    <b:Pages>75</b:Pages>
    <b:RefOrder>49</b:RefOrder>
  </b:Source>
  <b:Source>
    <b:Tag>Sul23</b:Tag>
    <b:SourceType>InternetSite</b:SourceType>
    <b:Guid>{B0400073-D3A6-46EF-AF11-25CC48E5AC05}</b:Guid>
    <b:Title>Karatun Allo: The Islamic System Of Elementary Education In Hausaland</b:Title>
    <b:YearAccessed>2023</b:YearAccessed>
    <b:MonthAccessed>November</b:MonthAccessed>
    <b:DayAccessed>15th</b:DayAccessed>
    <b:URL>http://www.gamji.com/article6000/NEWS6032.htm</b:URL>
    <b:Author>
      <b:Author>
        <b:NameList>
          <b:Person>
            <b:Last>Sulaiman</b:Last>
            <b:First>K.</b:First>
          </b:Person>
        </b:NameList>
      </b:Author>
    </b:Author>
    <b:RefOrder>50</b:RefOrder>
  </b:Source>
  <b:Source>
    <b:Tag>Ang12</b:Tag>
    <b:SourceType>JournalArticle</b:SourceType>
    <b:Guid>{365048B4-77B5-4EFF-8755-48D58FC4410F}</b:Guid>
    <b:Title> Use of the tendon of the palmaris longus muscle in surgical procedures: study on cadavers</b:Title>
    <b:Year>2012</b:Year>
    <b:Author>
      <b:Author>
        <b:NameList>
          <b:Person>
            <b:Last>Angelini Júnior</b:Last>
            <b:Middle>C.</b:Middle>
            <b:First>L.</b:First>
          </b:Person>
          <b:Person>
            <b:Last>Angelini </b:Last>
            <b:Middle>B.</b:Middle>
            <b:First>F.</b:First>
          </b:Person>
          <b:Person>
            <b:Last>Oliveira</b:Last>
            <b:Middle>C.</b:Middle>
            <b:First>B.</b:First>
          </b:Person>
          <b:Person>
            <b:Last>Soares</b:Last>
            <b:Middle>A.</b:Middle>
            <b:First>S.</b:First>
          </b:Person>
          <b:Person>
            <b:Last>Angelini</b:Last>
            <b:Middle>C.</b:Middle>
            <b:First>L.</b:First>
          </b:Person>
          <b:Person>
            <b:Last>Cabral </b:Last>
            <b:Middle>H.</b:Middle>
            <b:First>R.</b:First>
          </b:Person>
        </b:NameList>
      </b:Author>
    </b:Author>
    <b:JournalName>Acta ortopedica brasileira</b:JournalName>
    <b:Pages>226-229</b:Pages>
    <b:Volume>20</b:Volume>
    <b:Issue>4</b:Issue>
    <b:RefOrder>51</b:RefOrder>
  </b:Source>
  <b:Source>
    <b:Tag>Tic15</b:Tag>
    <b:SourceType>JournalArticle</b:SourceType>
    <b:Guid>{A298ECD2-7734-46C3-98DE-A295C27AB8B5}</b:Guid>
    <b:Title>How the embryo makes a limb: determination, polarity and identity</b:Title>
    <b:JournalName>Journal of Anatomy</b:JournalName>
    <b:Year>2015</b:Year>
    <b:Pages>418-430</b:Pages>
    <b:Volume>227</b:Volume>
    <b:Issue>4</b:Issue>
    <b:Author>
      <b:Author>
        <b:NameList>
          <b:Person>
            <b:Last>Tickle</b:Last>
            <b:First>C.</b:First>
          </b:Person>
        </b:NameList>
      </b:Author>
    </b:Author>
    <b:RefOrder>52</b:RefOrder>
  </b:Source>
  <b:Source>
    <b:Tag>Agr14</b:Tag>
    <b:SourceType>JournalArticle</b:SourceType>
    <b:Guid>{9E9B4DD4-9D36-42B8-AA6B-FA318EEC0DE7}</b:Guid>
    <b:Title>Neonatal volkmann ischemic contracture: case report and review of literature</b:Title>
    <b:JournalName>AJP Reports</b:JournalName>
    <b:Year>2014</b:Year>
    <b:Pages>e77-80</b:Pages>
    <b:Volume>4</b:Volume>
    <b:Issue>2</b:Issue>
    <b:Author>
      <b:Author>
        <b:NameList>
          <b:Person>
            <b:Last>Agrawal</b:Last>
            <b:First>H.</b:First>
          </b:Person>
          <b:Person>
            <b:Last>Dokania </b:Last>
            <b:First>G.</b:First>
          </b:Person>
          <b:Person>
            <b:Last>Wu </b:Last>
            <b:Middle>Y.</b:Middle>
            <b:First>S.</b:First>
          </b:Person>
        </b:NameList>
      </b:Author>
    </b:Author>
    <b:RefOrder>53</b:RefOrder>
  </b:Source>
  <b:Source>
    <b:Tag>Par10</b:Tag>
    <b:SourceType>JournalArticle</b:SourceType>
    <b:Guid>{FA962200-AE67-4306-A1D2-EA062BEB35A5}</b:Guid>
    <b:Title>Anatomic Variations of the Palmaris Longus Muscle</b:Title>
    <b:JournalName>The American Journal of Orthopedics</b:JournalName>
    <b:Year>2010</b:Year>
    <b:Pages>89-94</b:Pages>
    <b:Volume>39</b:Volume>
    <b:Issue>2</b:Issue>
    <b:Author>
      <b:Author>
        <b:NameList>
          <b:Person>
            <b:Last>Park</b:Last>
            <b:Middle>J.</b:Middle>
            <b:First>M.</b:First>
          </b:Person>
          <b:Person>
            <b:Last>Namdari</b:Last>
            <b:First>S.</b:First>
          </b:Person>
          <b:Person>
            <b:Last>Yao</b:Last>
            <b:First>J.</b:First>
          </b:Person>
        </b:NameList>
      </b:Author>
    </b:Author>
    <b:RefOrder>54</b:RefOrder>
  </b:Source>
  <b:Source>
    <b:Tag>Cet13</b:Tag>
    <b:SourceType>JournalArticle</b:SourceType>
    <b:Guid>{9D3A042C-45FA-4740-AF1D-D941BDAB0816}</b:Guid>
    <b:Title>Prevalence of the palmaris longus muscle and its relationship with grip and pinch strength: a study in a Turkish pediatric population</b:Title>
    <b:JournalName>Hand (N Y).</b:JournalName>
    <b:Year>2013</b:Year>
    <b:Pages>215–220</b:Pages>
    <b:Volume>8</b:Volume>
    <b:Issue>2</b:Issue>
    <b:Author>
      <b:Author>
        <b:NameList>
          <b:Person>
            <b:Last>Cetin</b:Last>
            <b:First>A.</b:First>
          </b:Person>
          <b:Person>
            <b:Last>Genc</b:Last>
            <b:First>M.</b:First>
          </b:Person>
          <b:Person>
            <b:Last>Sevil</b:Last>
            <b:First>S.</b:First>
          </b:Person>
          <b:Person>
            <b:Last>Coban</b:Last>
            <b:Middle>K.</b:Middle>
            <b:First>Y.</b:First>
          </b:Person>
        </b:NameList>
      </b:Author>
    </b:Author>
    <b:RefOrder>55</b:RefOrder>
  </b:Source>
  <b:Source>
    <b:Tag>Sat10</b:Tag>
    <b:SourceType>JournalArticle</b:SourceType>
    <b:Guid>{5ECF1836-79B3-49CF-BB12-9729BCB97052}</b:Guid>
    <b:Title>The prevalence of absence of the palmaris longus muscle in the Bahraini population</b:Title>
    <b:JournalName>Clinical Anatomy</b:JournalName>
    <b:Year>2010</b:Year>
    <b:Pages>956-961</b:Pages>
    <b:Volume>23</b:Volume>
    <b:Issue>8</b:Issue>
    <b:Author>
      <b:Author>
        <b:NameList>
          <b:Person>
            <b:Last>Sater</b:Last>
            <b:Middle>S.</b:Middle>
            <b:First>M.</b:First>
          </b:Person>
          <b:Person>
            <b:Last>Dharap</b:Last>
            <b:Middle>S.</b:Middle>
            <b:First>A.</b:First>
          </b:Person>
          <b:Person>
            <b:Last>Abu-Hijleh</b:Last>
            <b:Middle>F.</b:Middle>
            <b:First>M.</b:First>
          </b:Person>
        </b:NameList>
      </b:Author>
    </b:Author>
    <b:RefOrder>56</b:RefOrder>
  </b:Source>
  <b:Source>
    <b:Tag>Tal17</b:Tag>
    <b:SourceType>JournalArticle</b:SourceType>
    <b:Guid>{74E44296-23E8-4439-A8F4-EB6E58518CF0}</b:Guid>
    <b:Title>Clinical Assessment of the Congenital Absence of Palmaris Longus and Flexor Digitorum Superficialis Muscles in Young Saudi Population</b:Title>
    <b:JournalName>Anatomical Research International</b:JournalName>
    <b:Year>2017</b:Year>
    <b:Pages>5342497</b:Pages>
    <b:Volume>2017</b:Volume>
    <b:Author>
      <b:Author>
        <b:NameList>
          <b:Person>
            <b:Last>Talal </b:Last>
            <b:Middle>A.</b:Middle>
            <b:First>M.</b:First>
          </b:Person>
          <b:Person>
            <b:Last>Abdullah </b:Last>
            <b:Middle>A.</b:Middle>
            <b:First>M.</b:First>
          </b:Person>
          <b:Person>
            <b:Last>Abdullah </b:Last>
            <b:Middle>A.</b:Middle>
            <b:First>T.</b:First>
          </b:Person>
          <b:Person>
            <b:Last>Hamad</b:Last>
            <b:Middle>A.</b:Middle>
            <b:First>A.</b:First>
          </b:Person>
          <b:Person>
            <b:Last>Turki</b:Last>
            <b:Middle>A.</b:Middle>
            <b:First>A.</b:First>
          </b:Person>
          <b:Person>
            <b:Last>Umedani </b:Last>
            <b:First>L.</b:First>
          </b:Person>
        </b:NameList>
      </b:Author>
    </b:Author>
    <b:RefOrder>57</b:RefOrder>
  </b:Source>
  <b:Source>
    <b:Tag>Mit01</b:Tag>
    <b:SourceType>JournalArticle</b:SourceType>
    <b:Guid>{26B491E6-25C5-455C-A550-51133B195564}</b:Guid>
    <b:Title>Length and width of the tendinous portion of the palmaris longus: A cadaver study of adult Japanese</b:Title>
    <b:JournalName>The Journal of Hand Surgery</b:JournalName>
    <b:Year>2001</b:Year>
    <b:Pages>706-710</b:Pages>
    <b:Volume>26</b:Volume>
    <b:Issue>4</b:Issue>
    <b:Author>
      <b:Author>
        <b:NameList>
          <b:Person>
            <b:Last>Mitsuhiro</b:Last>
            <b:First>A.</b:First>
          </b:Person>
          <b:Person>
            <b:Last>Kida</b:Last>
            <b:Middle>Y.</b:Middle>
            <b:First>M.</b:First>
          </b:Person>
          <b:Person>
            <b:Last>Ishii </b:Last>
            <b:First>S.</b:First>
          </b:Person>
          <b:Person>
            <b:Last>Kumaki</b:Last>
            <b:First>K.</b:First>
          </b:Person>
          <b:Person>
            <b:Last>Tanaka</b:Last>
            <b:First>S.</b:First>
          </b:Person>
          <b:Person>
            <b:Last>Ito </b:Last>
            <b:Middle>M.</b:Middle>
            <b:First>M.</b:First>
          </b:Person>
        </b:NameList>
      </b:Author>
    </b:Author>
    <b:RefOrder>58</b:RefOrder>
  </b:Source>
  <b:Source>
    <b:Tag>Had15</b:Tag>
    <b:SourceType>JournalArticle</b:SourceType>
    <b:Guid>{215602D2-D517-46B6-9CA3-DDAAE264146D}</b:Guid>
    <b:Title> Palmaris longus absence in six largest Indonesian ethnicities and its relationship with gender, ethnicity, and hand dominance.</b:Title>
    <b:JournalName>Medical Journal of Indonesia</b:JournalName>
    <b:Year>2015</b:Year>
    <b:Pages>24-29</b:Pages>
    <b:Volume>24</b:Volume>
    <b:Author>
      <b:Author>
        <b:NameList>
          <b:Person>
            <b:Last>Hadi</b:Last>
            <b:Middle>A.</b:Middle>
            <b:First>S.</b:First>
          </b:Person>
          <b:Person>
            <b:Last>Masri </b:Last>
            <b:Middle>P.</b:Middle>
            <b:First>D.</b:First>
          </b:Person>
        </b:NameList>
      </b:Author>
    </b:Author>
    <b:RefOrder>59</b:RefOrder>
  </b:Source>
  <b:Source>
    <b:Tag>Ber14</b:Tag>
    <b:SourceType>JournalArticle</b:SourceType>
    <b:Guid>{640E8879-7F82-4B8A-872D-A2F650D5FDF8}</b:Guid>
    <b:Title>Agenesis of Palmaris Longus Muscle among Selected Ethiopian Students</b:Title>
    <b:JournalName>Anatomy and  Physiology</b:JournalName>
    <b:Year>2014</b:Year>
    <b:Pages>2</b:Pages>
    <b:Volume>4</b:Volume>
    <b:Author>
      <b:Author>
        <b:NameList>
          <b:Person>
            <b:Last>Berhe</b:Last>
            <b:First>T.</b:First>
          </b:Person>
          <b:Person>
            <b:Last>Bekele</b:Last>
            <b:First>A.</b:First>
          </b:Person>
        </b:NameList>
      </b:Author>
    </b:Author>
    <b:RefOrder>60</b:RefOrder>
  </b:Source>
  <b:Source>
    <b:Tag>Ole171</b:Tag>
    <b:SourceType>JournalArticle</b:SourceType>
    <b:Guid>{7BBC6CAA-B235-4D11-99C7-BB304F21A97A}</b:Guid>
    <b:Title>Incidence of Palmaris Longus Muscle Absence in Nigerian Population</b:Title>
    <b:JournalName>International Journal of Morphology</b:JournalName>
    <b:Year>2008</b:Year>
    <b:Pages>305-308</b:Pages>
    <b:Volume>26</b:Volume>
    <b:Author>
      <b:Author>
        <b:NameList>
          <b:Person>
            <b:Last>Kayode</b:Last>
            <b:First>O.</b:First>
          </b:Person>
          <b:Person>
            <b:Last>Olamide </b:Last>
            <b:Middle>A.</b:Middle>
            <b:First>A.</b:First>
          </b:Person>
          <b:Person>
            <b:Last>Blessing</b:Last>
            <b:First>O.</b:First>
          </b:Person>
          <b:Person>
            <b:Last>Victor</b:Last>
            <b:Middle>O.</b:Middle>
            <b:First>U.</b:First>
          </b:Person>
        </b:NameList>
      </b:Author>
    </b:Author>
    <b:Issue>2</b:Issue>
    <b:RefOrder>61</b:RefOrder>
  </b:Source>
  <b:Source>
    <b:Tag>Ade121</b:Tag>
    <b:SourceType>JournalArticle</b:SourceType>
    <b:Guid>{A75ACFCE-207C-43A0-9DA2-29BAD49226C7}</b:Guid>
    <b:Title>Agenesis of Palmaris Longus Muscle in Selected Population of School Children in Nigeria</b:Title>
    <b:JournalName>International Journal of Morphology</b:JournalName>
    <b:Year>2012</b:Year>
    <b:Pages>1593-1596</b:Pages>
    <b:Volume>30</b:Volume>
    <b:Issue>4</b:Issue>
    <b:Author>
      <b:Author>
        <b:NameList>
          <b:Person>
            <b:Last>Adeyemi </b:Last>
            <b:Middle>A.</b:Middle>
            <b:First>S.</b:First>
          </b:Person>
          <b:Person>
            <b:Last>Timothy</b:Last>
            <b:Middle>S.</b:Middle>
            <b:First>O.</b:First>
          </b:Person>
          <b:Person>
            <b:Last>Ajibola</b:Last>
            <b:First>B.</b:First>
          </b:Person>
        </b:NameList>
      </b:Author>
    </b:Author>
    <b:RefOrder>62</b:RefOrder>
  </b:Source>
  <b:Source>
    <b:Tag>Ena22</b:Tag>
    <b:SourceType>JournalArticle</b:SourceType>
    <b:Guid>{C6D347F4-89FB-47E6-8D8D-B9A4244A7C92}</b:Guid>
    <b:Title>Prevalence of palmaris longus agenesis among the Urhobo of Delta State, Nigeria</b:Title>
    <b:JournalName>Medknow in Amrita Journal of Medicine</b:JournalName>
    <b:Year>2022</b:Year>
    <b:Pages>131</b:Pages>
    <b:Volume>19</b:Volume>
    <b:Issue>3</b:Issue>
    <b:Author>
      <b:Author>
        <b:NameList>
          <b:Person>
            <b:Last>Enakpoya</b:Last>
            <b:First>P.</b:First>
          </b:Person>
          <b:Person>
            <b:Last>Ominde</b:Last>
            <b:First>B.</b:First>
          </b:Person>
          <b:Person>
            <b:Last>Destiny</b:Last>
            <b:First>E.</b:First>
          </b:Person>
          <b:Person>
            <b:Last>Ebeye</b:Last>
            <b:Middle>A.</b:Middle>
            <b:First>O.</b:First>
          </b:Person>
          <b:Person>
            <b:Last>Igbigbi</b:Last>
            <b:Middle>S.</b:Middle>
            <b:First>P.</b:First>
          </b:Person>
        </b:NameList>
      </b:Author>
    </b:Author>
    <b:RefOrder>63</b:RefOrder>
  </b:Source>
  <b:Source>
    <b:Tag>Abu19</b:Tag>
    <b:SourceType>JournalArticle</b:SourceType>
    <b:Guid>{966D3CE0-7969-449C-BF5E-E3C9878F63C8}</b:Guid>
    <b:Title>Palmaris Longus Tendon Absence Prevalence in an Egyptian Population</b:Title>
    <b:JournalName>World Family Medicine</b:JournalName>
    <b:Year>2019</b:Year>
    <b:Pages>14-19</b:Pages>
    <b:Volume>17</b:Volume>
    <b:Issue>2</b:Issue>
    <b:Author>
      <b:Author>
        <b:NameList>
          <b:Person>
            <b:Last>Abu Qa’oud </b:Last>
            <b:First>M.</b:First>
          </b:Person>
          <b:Person>
            <b:Last>Al-Zoubi </b:Last>
            <b:First>A.</b:First>
          </b:Person>
          <b:Person>
            <b:Last>Jaradat</b:Last>
            <b:First>M.</b:First>
          </b:Person>
          <b:Person>
            <b:Last>Al-Hasan</b:Last>
            <b:First>M.</b:First>
          </b:Person>
          <b:Person>
            <b:Last>Abaza</b:Last>
            <b:First>Y.</b:First>
          </b:Person>
        </b:NameList>
      </b:Author>
    </b:Author>
    <b:RefOrder>64</b:RefOrder>
  </b:Source>
  <b:Source>
    <b:Tag>Hol19</b:Tag>
    <b:SourceType>JournalArticle</b:SourceType>
    <b:Guid>{77F07E05-3301-49DE-AACA-D7DA74444ECC}</b:Guid>
    <b:Title>Detection of the palmaris longus tendon: physical examination versus sonography</b:Title>
    <b:JournalName>Journal of Hand Surgery Europe</b:JournalName>
    <b:Year>2019</b:Year>
    <b:Pages>800–804</b:Pages>
    <b:Volume>44</b:Volume>
    <b:Issue>8</b:Issue>
    <b:Author>
      <b:Author>
        <b:NameList>
          <b:Person>
            <b:Last>Holzgrefe</b:Last>
            <b:Middle>E.</b:Middle>
            <b:First>R.</b:First>
          </b:Person>
          <b:Person>
            <b:Last>Anastasio,</b:Last>
            <b:Middle>T.</b:Middle>
            <b:First>A.</b:First>
          </b:Person>
          <b:Person>
            <b:Last>Farley</b:Last>
            <b:Middle>X.</b:Middle>
            <b:First>K.</b:First>
          </b:Person>
          <b:Person>
            <b:Last>Daly</b:Last>
            <b:Middle>A.</b:Middle>
            <b:First>C.</b:First>
          </b:Person>
          <b:Person>
            <b:Last>Mason</b:Last>
            <b:Middle>R.</b:Middle>
            <b:First>A.</b:First>
          </b:Person>
          <b:Person>
            <b:Last>Gottschalk</b:Last>
            <b:Middle>B.</b:Middle>
            <b:First>M.</b:First>
          </b:Person>
        </b:NameList>
      </b:Author>
    </b:Author>
    <b:RefOrder>65</b:RefOrder>
  </b:Source>
  <b:Source>
    <b:Tag>Sun15</b:Tag>
    <b:SourceType>JournalArticle</b:SourceType>
    <b:Guid>{27F3DDDD-6D6A-41A1-80A2-1C5617F2194B}</b:Guid>
    <b:Title>Variation in the insertion of the palmaris longus tendon</b:Title>
    <b:JournalName>Singapore Medical Journal</b:JournalName>
    <b:Year>2015</b:Year>
    <b:Pages>e7–e9</b:Pages>
    <b:Volume>56</b:Volume>
    <b:Issue>1</b:Issue>
    <b:Author>
      <b:Author>
        <b:NameList>
          <b:Person>
            <b:Last>Sunil</b:Last>
            <b:First>V.</b:First>
          </b:Person>
          <b:Person>
            <b:Last>Rajanna</b:Last>
            <b:First>S.</b:First>
          </b:Person>
          <b:Person>
            <b:Last>Gitanjali</b:Last>
          </b:Person>
          <b:Person>
            <b:Last>Kadaba</b:Last>
            <b:First>J.</b:First>
          </b:Person>
        </b:NameList>
      </b:Author>
    </b:Author>
    <b:RefOrder>66</b:RefOrder>
  </b:Source>
  <b:Source>
    <b:Tag>Moh18</b:Tag>
    <b:SourceType>JournalArticle</b:SourceType>
    <b:Guid>{93B3CD75-131E-4C95-AF46-A9C59A6C980E}</b:Guid>
    <b:Title>Two new clinical tests for palmaris longus</b:Title>
    <b:Year>2018</b:Year>
    <b:Author>
      <b:Author>
        <b:NameList>
          <b:Person>
            <b:Last>Mohan</b:Last>
            <b:Middle>S.</b:Middle>
            <b:First>R.</b:First>
          </b:Person>
        </b:NameList>
      </b:Author>
    </b:Author>
    <b:JournalName>Indian Journal of Plastic Surgery</b:JournalName>
    <b:Pages>321–323</b:Pages>
    <b:Volume>51</b:Volume>
    <b:Issue>3</b:Issue>
    <b:RefOrder>67</b:RefOrder>
  </b:Source>
  <b:Source>
    <b:Tag>Wag14</b:Tag>
    <b:SourceType>JournalArticle</b:SourceType>
    <b:Guid>{A2D62C7B-C52B-4B35-8EB0-DD5959AAF987}</b:Guid>
    <b:Title>Unilateral absence of Palmaris longus muscle – A case report</b:Title>
    <b:JournalName>Apollo Medicine</b:JournalName>
    <b:Year>2014</b:Year>
    <b:Pages>297-299</b:Pages>
    <b:Volume>11</b:Volume>
    <b:Issue>4</b:Issue>
    <b:Author>
      <b:Author>
        <b:NameList>
          <b:Person>
            <b:Last>Waghray</b:Last>
            <b:First>N.</b:First>
          </b:Person>
          <b:Person>
            <b:Last>Jyothi </b:Last>
            <b:First>A.</b:First>
          </b:Person>
        </b:NameList>
      </b:Author>
    </b:Author>
    <b:RefOrder>68</b:RefOrder>
  </b:Source>
  <b:Source>
    <b:Tag>Fow12</b:Tag>
    <b:SourceType>JournalArticle</b:SourceType>
    <b:Guid>{CF15F326-8BA2-4FA0-9A1C-9BA6A1E91208}</b:Guid>
    <b:Title>Assessment of the presence/absence of the palmaris longus muscle in different sports, and elite and non-elite sport populations</b:Title>
    <b:JournalName>Physiotherapy</b:JournalName>
    <b:Year>2012</b:Year>
    <b:Pages>138-142</b:Pages>
    <b:Volume>98</b:Volume>
    <b:Issue>2</b:Issue>
    <b:Author>
      <b:Author>
        <b:NameList>
          <b:Person>
            <b:Last>Fowlie</b:Last>
            <b:First>C.</b:First>
          </b:Person>
          <b:Person>
            <b:Last>Fuller </b:Last>
            <b:First>C.</b:First>
          </b:Person>
          <b:Person>
            <b:Last>Pratten </b:Last>
            <b:Middle>K.</b:Middle>
            <b:First>M.</b:First>
          </b:Person>
        </b:NameList>
      </b:Author>
    </b:Author>
    <b:RefOrder>69</b:RefOrder>
  </b:Source>
  <b:Source>
    <b:Tag>Car12</b:Tag>
    <b:SourceType>JournalArticle</b:SourceType>
    <b:Guid>{4E9344D3-B801-41C6-9552-1D450F675FBF}</b:Guid>
    <b:Title>Use of the tendon of the palmaris longus muscle in surgical procedures: study on cadavers</b:Title>
    <b:JournalName>Acta Ortopedica Brasileira</b:JournalName>
    <b:Year>2012</b:Year>
    <b:Pages>226–229</b:Pages>
    <b:Volume>20</b:Volume>
    <b:Issue>4</b:Issue>
    <b:Author>
      <b:Author>
        <b:NameList>
          <b:Person>
            <b:Last>Carlos </b:Last>
            <b:Middle>A.</b:Middle>
            <b:First>L.</b:First>
          </b:Person>
          <b:Person>
            <b:Last>Berdelli </b:Last>
            <b:Middle>A.</b:Middle>
            <b:First>F.</b:First>
          </b:Person>
          <b:Person>
            <b:Last>Craveiro de Oliveira</b:Last>
            <b:First>B.</b:First>
          </b:Person>
          <b:Person>
            <b:Last>Aparecida </b:Last>
            <b:Middle>S.</b:Middle>
            <b:First>S.</b:First>
          </b:Person>
          <b:Person>
            <b:Last>Carlos </b:Last>
            <b:Middle>A.</b:Middle>
            <b:First>L.</b:First>
          </b:Person>
          <b:Person>
            <b:Last>Halti </b:Last>
            <b:Middle>C.</b:Middle>
            <b:First>R.</b:First>
          </b:Person>
        </b:NameList>
      </b:Author>
    </b:Author>
    <b:RefOrder>70</b:RefOrder>
  </b:Source>
  <b:Source>
    <b:Tag>Ver161</b:Tag>
    <b:SourceType>JournalArticle</b:SourceType>
    <b:Guid>{C0948630-7ECD-491A-981B-18405D02C23C}</b:Guid>
    <b:Title>The Impact of Palmaris Longus Muscle on Function in Sports: An Explorative Study in Elite Tennis Players and Recreational Athletes</b:Title>
    <b:JournalName>Journal of  Functional Morphology and Kinesiology</b:JournalName>
    <b:Year>2016</b:Year>
    <b:Pages>167-182</b:Pages>
    <b:Volume>1</b:Volume>
    <b:Issue>2</b:Issue>
    <b:Author>
      <b:Author>
        <b:NameList>
          <b:Person>
            <b:Last>Vercruyssen </b:Last>
            <b:First>J.</b:First>
          </b:Person>
          <b:Person>
            <b:Last>Scafoglieri </b:Last>
            <b:First>A.</b:First>
          </b:Person>
          <b:Person>
            <b:Last>Cattrysse </b:Last>
            <b:First>E.</b:First>
          </b:Person>
        </b:NameList>
      </b:Author>
    </b:Author>
    <b:RefOrder>71</b:RefOrder>
  </b:Source>
  <b:Source>
    <b:Tag>Get18</b:Tag>
    <b:SourceType>JournalArticle</b:SourceType>
    <b:Guid>{8443ECD5-9F3E-4EA4-9B11-8FE226DC02F6}</b:Guid>
    <b:Title>Surgical Resection of a Reversed Palmaris Longus Muscle Causing Chronic Exertional Compartment Syndrome in a Competitive Swimmer: A Case Report</b:Title>
    <b:JournalName>Orthopedic Journal of  Sports Medicine</b:JournalName>
    <b:Year>2018</b:Year>
    <b:Pages>2325967118769615.</b:Pages>
    <b:Volume>6</b:Volume>
    <b:Issue>5</b:Issue>
    <b:Author>
      <b:Author>
        <b:NameList>
          <b:Person>
            <b:Last>Getzmann</b:Last>
            <b:Middle>M.</b:Middle>
            <b:First>J.</b:First>
          </b:Person>
          <b:Person>
            <b:Last>Schweizer</b:Last>
            <b:First>A.</b:First>
          </b:Person>
        </b:NameList>
      </b:Author>
    </b:Author>
    <b:RefOrder>72</b:RefOrder>
  </b:Source>
  <b:Source>
    <b:Tag>Mor13</b:Tag>
    <b:SourceType>JournalArticle</b:SourceType>
    <b:Guid>{DE504AFF-7B86-4530-93B5-13ED23C9379D}</b:Guid>
    <b:Title>Agenesis of palmaris longus muscle: is this a phenotype of variable expressivity?</b:Title>
    <b:JournalName>Journal of  Morphological  Science</b:JournalName>
    <b:Year>2013</b:Year>
    <b:Pages>249-253</b:Pages>
    <b:Volume>30</b:Volume>
    <b:Issue>4</b:Issue>
    <b:Author>
      <b:Author>
        <b:NameList>
          <b:Person>
            <b:Last>Morais</b:Last>
            <b:Middle>A.</b:Middle>
            <b:First>M.</b:First>
          </b:Person>
          <b:Person>
            <b:Last>Santos</b:Last>
            <b:Middle>G.</b:Middle>
            <b:First>W.</b:First>
          </b:Person>
          <b:Person>
            <b:Last>Malysz</b:Last>
            <b:First>T.</b:First>
          </b:Person>
        </b:NameList>
      </b:Author>
    </b:Author>
    <b:RefOrder>73</b:RefOrder>
  </b:Source>
  <b:Source>
    <b:Tag>Tas23</b:Tag>
    <b:SourceType>JournalArticle</b:SourceType>
    <b:Guid>{3D6074E8-9925-4C63-BAF9-14B1B378C0DE}</b:Guid>
    <b:Title>Effects of the Presence Rate of the Palmaris Longus Tendon on Wrist Proprioception and Grip Strength</b:Title>
    <b:JournalName>Cureus</b:JournalName>
    <b:Year>2023</b:Year>
    <b:Pages>e36779</b:Pages>
    <b:Volume>15</b:Volume>
    <b:Issue>3</b:Issue>
    <b:Author>
      <b:Author>
        <b:NameList>
          <b:Person>
            <b:Last>Taskin</b:Last>
            <b:Middle>S.</b:Middle>
            <b:First>G.</b:First>
          </b:Person>
          <b:Person>
            <b:Last>Kürtül</b:Last>
            <b:First>I.</b:First>
          </b:Person>
          <b:Person>
            <b:Last>Ahmetoglu</b:Last>
            <b:First>G.</b:First>
          </b:Person>
          <b:Person>
            <b:Last>Ray</b:Last>
            <b:First>A.</b:First>
          </b:Person>
        </b:NameList>
      </b:Author>
    </b:Author>
    <b:RefOrder>74</b:RefOrder>
  </b:Source>
  <b:Source>
    <b:Tag>Bar07</b:Tag>
    <b:SourceType>Book</b:SourceType>
    <b:Guid>{9B3F1C40-8781-4845-96A1-BAE9A7DF1F24}</b:Guid>
    <b:Title>The Great Attractions Of Kano</b:Title>
    <b:Year>2007</b:Year>
    <b:Author>
      <b:Author>
        <b:NameList>
          <b:Person>
            <b:Last>Barau</b:Last>
            <b:Middle>S.</b:Middle>
            <b:First>A.</b:First>
          </b:Person>
        </b:NameList>
      </b:Author>
    </b:Author>
    <b:City>Kano City</b:City>
    <b:Publisher>Research and Documentation Directorate, Government House Kano</b:Publisher>
    <b:StandardNumber>ISBN 9788109330</b:StandardNumber>
    <b:RefOrder>75</b:RefOrder>
  </b:Source>
  <b:Source>
    <b:Tag>Ovi23</b:Tag>
    <b:SourceType>JournalArticle</b:SourceType>
    <b:Guid>{D147C2D4-3672-40AD-AF23-70275671A909}</b:Guid>
    <b:Title>The Incidence of Palmaris Longus Muscle and Its Association with the Biodemographic Data of Medical and Allied Health Science Students</b:Title>
    <b:JournalName>European Journal of Medical and Health Sciences</b:JournalName>
    <b:Year>2023</b:Year>
    <b:Pages>60-64</b:Pages>
    <b:Volume>5</b:Volume>
    <b:Issue>3</b:Issue>
    <b:Author>
      <b:Author>
        <b:NameList>
          <b:Person>
            <b:Last>Oviosun et al.</b:Last>
          </b:Person>
        </b:NameList>
      </b:Author>
    </b:Author>
    <b:RefOrder>10</b:RefOrder>
  </b:Source>
</b:Sources>
</file>

<file path=customXml/itemProps1.xml><?xml version="1.0" encoding="utf-8"?>
<ds:datastoreItem xmlns:ds="http://schemas.openxmlformats.org/officeDocument/2006/customXml" ds:itemID="{597E0381-878B-42C9-8A5E-F88959C5D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4566</TotalTime>
  <Pages>6</Pages>
  <Words>3277</Words>
  <Characters>18679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1393</cp:revision>
  <cp:lastPrinted>2026-07-28T11:47:00Z</cp:lastPrinted>
  <dcterms:created xsi:type="dcterms:W3CDTF">2025-07-15T07:10:00Z</dcterms:created>
  <dcterms:modified xsi:type="dcterms:W3CDTF">2026-09-28T14:08:00Z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cf3d1a84-6fdc-4cb0-a8ed-4c37a0cf79d7</vt:lpwstr>
  </property>
  <property fmtid="{D5CDD505-2E9C-101B-9397-08002B2CF9AE}" pid="3" name="KSOProductBuildVer">
    <vt:lpwstr>1033-12.2.0.23196</vt:lpwstr>
  </property>
  <property fmtid="{D5CDD505-2E9C-101B-9397-08002B2CF9AE}" pid="4" name="ICV">
    <vt:lpwstr>6C8733FF530A4E62A6CA85097E582C89_12</vt:lpwstr>
  </property>
</Properties>
</file>